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13E20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4DED">
        <w:rPr>
          <w:rFonts w:ascii="Times New Roman" w:hAnsi="Times New Roman" w:cs="Times New Roman"/>
          <w:sz w:val="24"/>
          <w:szCs w:val="24"/>
        </w:rPr>
        <w:t>Database: Projects in Progress</w:t>
      </w:r>
    </w:p>
    <w:p w14:paraId="67D95160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13C48B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>Add Your Project Study: Both   </w:t>
      </w:r>
    </w:p>
    <w:p w14:paraId="6C67B4DA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91FD6A" w14:textId="490C54CE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 xml:space="preserve">Primary Author Name: </w:t>
      </w:r>
      <w:r w:rsidR="00536A13">
        <w:rPr>
          <w:rFonts w:ascii="Times New Roman" w:hAnsi="Times New Roman" w:cs="Times New Roman"/>
          <w:sz w:val="24"/>
          <w:szCs w:val="24"/>
        </w:rPr>
        <w:t xml:space="preserve">Maria Luna </w:t>
      </w:r>
      <w:r w:rsidRPr="00F74DE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38B3ACD7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FA8C12" w14:textId="77777777" w:rsidR="00B132E3" w:rsidRPr="00F74DED" w:rsidRDefault="00B132E3" w:rsidP="00F74DED">
      <w:pPr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 xml:space="preserve">Working Title: </w:t>
      </w:r>
      <w:r w:rsidR="00F74DED">
        <w:rPr>
          <w:rFonts w:ascii="Times New Roman" w:hAnsi="Times New Roman" w:cs="Times New Roman"/>
          <w:sz w:val="24"/>
          <w:szCs w:val="24"/>
        </w:rPr>
        <w:t>Early Adulthood Measure</w:t>
      </w:r>
      <w:r w:rsidR="00B10523" w:rsidRPr="00F74DED">
        <w:rPr>
          <w:rFonts w:ascii="Times New Roman" w:hAnsi="Times New Roman" w:cs="Times New Roman"/>
          <w:sz w:val="24"/>
          <w:szCs w:val="24"/>
        </w:rPr>
        <w:t xml:space="preserve"> </w:t>
      </w:r>
      <w:r w:rsidR="00F74DED">
        <w:rPr>
          <w:rFonts w:ascii="Times New Roman" w:hAnsi="Times New Roman" w:cs="Times New Roman"/>
          <w:sz w:val="24"/>
          <w:szCs w:val="24"/>
        </w:rPr>
        <w:t xml:space="preserve">of </w:t>
      </w:r>
      <w:r w:rsidR="00B10523" w:rsidRPr="00F74DED">
        <w:rPr>
          <w:rFonts w:ascii="Times New Roman" w:hAnsi="Times New Roman" w:cs="Times New Roman"/>
          <w:sz w:val="24"/>
          <w:szCs w:val="24"/>
        </w:rPr>
        <w:t xml:space="preserve">Frailty </w:t>
      </w:r>
      <w:r w:rsidR="00F74DED">
        <w:rPr>
          <w:rFonts w:ascii="Times New Roman" w:hAnsi="Times New Roman" w:cs="Times New Roman"/>
          <w:sz w:val="24"/>
          <w:szCs w:val="24"/>
        </w:rPr>
        <w:t xml:space="preserve">and the Shared Associations with </w:t>
      </w:r>
      <w:r w:rsidR="00B10523" w:rsidRPr="00F74DED">
        <w:rPr>
          <w:rFonts w:ascii="Times New Roman" w:hAnsi="Times New Roman" w:cs="Times New Roman"/>
          <w:sz w:val="24"/>
          <w:szCs w:val="24"/>
        </w:rPr>
        <w:t>Processing Speed</w:t>
      </w:r>
      <w:r w:rsidR="00F74DED">
        <w:rPr>
          <w:rFonts w:ascii="Times New Roman" w:hAnsi="Times New Roman" w:cs="Times New Roman"/>
          <w:sz w:val="24"/>
          <w:szCs w:val="24"/>
        </w:rPr>
        <w:t xml:space="preserve"> Performance </w:t>
      </w:r>
    </w:p>
    <w:p w14:paraId="29DC71D2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07529E" w14:textId="0CE1ED45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 xml:space="preserve">Potential Co Author(s) (enter none if not applicable): </w:t>
      </w:r>
      <w:r w:rsidR="00734923" w:rsidRPr="00F74DED">
        <w:rPr>
          <w:rFonts w:ascii="Times New Roman" w:hAnsi="Times New Roman" w:cs="Times New Roman"/>
          <w:sz w:val="24"/>
          <w:szCs w:val="24"/>
        </w:rPr>
        <w:t xml:space="preserve">Shandell </w:t>
      </w:r>
      <w:proofErr w:type="spellStart"/>
      <w:r w:rsidR="00734923" w:rsidRPr="00F74DED">
        <w:rPr>
          <w:rFonts w:ascii="Times New Roman" w:hAnsi="Times New Roman" w:cs="Times New Roman"/>
          <w:sz w:val="24"/>
          <w:szCs w:val="24"/>
        </w:rPr>
        <w:t>Pahlen</w:t>
      </w:r>
      <w:proofErr w:type="spellEnd"/>
      <w:r w:rsidR="00734923">
        <w:rPr>
          <w:rFonts w:ascii="Times New Roman" w:hAnsi="Times New Roman" w:cs="Times New Roman"/>
          <w:sz w:val="24"/>
          <w:szCs w:val="24"/>
        </w:rPr>
        <w:t xml:space="preserve">, </w:t>
      </w:r>
      <w:r w:rsidRPr="00F74DED">
        <w:rPr>
          <w:rFonts w:ascii="Times New Roman" w:hAnsi="Times New Roman" w:cs="Times New Roman"/>
          <w:sz w:val="24"/>
          <w:szCs w:val="24"/>
        </w:rPr>
        <w:t xml:space="preserve">Chandra Reynolds </w:t>
      </w:r>
    </w:p>
    <w:p w14:paraId="78F93C41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89870C" w14:textId="60D40E52" w:rsidR="00CE656C" w:rsidRPr="00F74DED" w:rsidRDefault="00B132E3" w:rsidP="00CE656C">
      <w:pPr>
        <w:pStyle w:val="NormalWeb"/>
        <w:spacing w:before="240" w:beforeAutospacing="0" w:after="240" w:afterAutospacing="0"/>
        <w:jc w:val="both"/>
      </w:pPr>
      <w:r w:rsidRPr="00F74DED">
        <w:t xml:space="preserve">Description (4-5 sentences): The proposed research aims to </w:t>
      </w:r>
      <w:r w:rsidR="00CE656C" w:rsidRPr="00F74DED">
        <w:t>create a frailty index score for later adulthood</w:t>
      </w:r>
      <w:r w:rsidR="00E951A4">
        <w:t xml:space="preserve">, </w:t>
      </w:r>
      <w:bookmarkStart w:id="1" w:name="OLE_LINK5"/>
      <w:bookmarkStart w:id="2" w:name="OLE_LINK6"/>
      <w:r w:rsidR="00E951A4">
        <w:t xml:space="preserve">where frailty refers to </w:t>
      </w:r>
      <w:r w:rsidR="007154BD">
        <w:t>multi-domain deficits in functioning and health</w:t>
      </w:r>
      <w:bookmarkEnd w:id="1"/>
      <w:bookmarkEnd w:id="2"/>
      <w:r w:rsidR="007154BD">
        <w:t>.</w:t>
      </w:r>
      <w:r w:rsidR="00CE656C" w:rsidRPr="00F74DED">
        <w:t xml:space="preserve"> </w:t>
      </w:r>
      <w:r w:rsidR="00A317A3">
        <w:t>T</w:t>
      </w:r>
      <w:r w:rsidR="00CE656C" w:rsidRPr="00F74DED">
        <w:t>he frailty measure derived for CATSLife will be used to test how mid-life frailty is associated with processing speed performance</w:t>
      </w:r>
      <w:r w:rsidR="00F736E6">
        <w:t xml:space="preserve">. We will also </w:t>
      </w:r>
      <w:r w:rsidR="00932FB5">
        <w:t xml:space="preserve">evaluate whether </w:t>
      </w:r>
      <w:r w:rsidR="00506CF4">
        <w:t xml:space="preserve">concurrent SES (measured by years of education) may </w:t>
      </w:r>
      <w:r w:rsidR="00932FB5">
        <w:t xml:space="preserve">moderate </w:t>
      </w:r>
      <w:r w:rsidR="006F187F">
        <w:t xml:space="preserve">the associations between </w:t>
      </w:r>
      <w:r w:rsidR="00932FB5">
        <w:t xml:space="preserve">frailty </w:t>
      </w:r>
      <w:r w:rsidR="006F187F">
        <w:t xml:space="preserve">and </w:t>
      </w:r>
      <w:r w:rsidR="00932FB5">
        <w:t xml:space="preserve">processing speed performance </w:t>
      </w:r>
      <w:r w:rsidR="00506CF4">
        <w:t>(Brunner et al., 2018)</w:t>
      </w:r>
      <w:r w:rsidR="00CE656C" w:rsidRPr="00F74DED">
        <w:t>. Frailty Ind</w:t>
      </w:r>
      <w:r w:rsidR="0061747A">
        <w:t>ice</w:t>
      </w:r>
      <w:r w:rsidR="00CE656C" w:rsidRPr="00F74DED">
        <w:t>s (FI), based o</w:t>
      </w:r>
      <w:r w:rsidR="00B10523" w:rsidRPr="00F74DED">
        <w:t>n</w:t>
      </w:r>
      <w:r w:rsidR="00CE656C" w:rsidRPr="00F74DED">
        <w:t xml:space="preserve"> the Accumulation of Deficits Model (</w:t>
      </w:r>
      <w:proofErr w:type="spellStart"/>
      <w:r w:rsidR="0089197F" w:rsidRPr="00F74DED">
        <w:rPr>
          <w:color w:val="222222"/>
          <w:shd w:val="clear" w:color="auto" w:fill="FFFFFF"/>
        </w:rPr>
        <w:t>Mitnitski</w:t>
      </w:r>
      <w:proofErr w:type="spellEnd"/>
      <w:r w:rsidR="00CE656C" w:rsidRPr="00F74DED">
        <w:t xml:space="preserve"> et al., 200</w:t>
      </w:r>
      <w:r w:rsidR="0089197F" w:rsidRPr="00F74DED">
        <w:t>1</w:t>
      </w:r>
      <w:r w:rsidR="0061747A">
        <w:t xml:space="preserve">; Rockwood &amp; </w:t>
      </w:r>
      <w:proofErr w:type="spellStart"/>
      <w:r w:rsidR="0061747A" w:rsidRPr="0061747A">
        <w:rPr>
          <w:color w:val="222222"/>
          <w:shd w:val="clear" w:color="auto" w:fill="FFFFFF"/>
        </w:rPr>
        <w:t>Mitnitski</w:t>
      </w:r>
      <w:proofErr w:type="spellEnd"/>
      <w:r w:rsidR="0061747A">
        <w:rPr>
          <w:color w:val="222222"/>
          <w:shd w:val="clear" w:color="auto" w:fill="FFFFFF"/>
        </w:rPr>
        <w:t>, 2007</w:t>
      </w:r>
      <w:r w:rsidR="00CE656C" w:rsidRPr="00F74DED">
        <w:t>)</w:t>
      </w:r>
      <w:r w:rsidR="0061747A">
        <w:t xml:space="preserve">, </w:t>
      </w:r>
      <w:r w:rsidR="00CE656C" w:rsidRPr="00F74DED">
        <w:t>have been developed to look at the prevalence of frailty in aging populations for purposes such as screening, mortality risk, and as a potential estimation of biological age. However, less work has investigated constructing a</w:t>
      </w:r>
      <w:r w:rsidR="00E32974">
        <w:t>n</w:t>
      </w:r>
      <w:r w:rsidR="00CE656C" w:rsidRPr="00F74DED">
        <w:t xml:space="preserve"> FI for younger to middle-aged adults</w:t>
      </w:r>
      <w:r w:rsidR="006E40E8">
        <w:t>. Moreover,</w:t>
      </w:r>
      <w:r w:rsidR="00F227DD" w:rsidRPr="00F74DED">
        <w:t xml:space="preserve"> there is limited research on </w:t>
      </w:r>
      <w:r w:rsidR="00CE656C" w:rsidRPr="00F74DED">
        <w:t xml:space="preserve">how </w:t>
      </w:r>
      <w:r w:rsidR="00F227DD" w:rsidRPr="00F74DED">
        <w:t>earl</w:t>
      </w:r>
      <w:r w:rsidR="0089197F" w:rsidRPr="00F74DED">
        <w:t xml:space="preserve">ier life </w:t>
      </w:r>
      <w:r w:rsidR="00F227DD" w:rsidRPr="00F74DED">
        <w:t xml:space="preserve">frailty </w:t>
      </w:r>
      <w:r w:rsidR="006E40E8">
        <w:t xml:space="preserve">is associated with current </w:t>
      </w:r>
      <w:r w:rsidR="00F227DD" w:rsidRPr="00F74DED">
        <w:t>cognitive performance and function</w:t>
      </w:r>
      <w:r w:rsidR="00506CF4">
        <w:t xml:space="preserve"> (</w:t>
      </w:r>
      <w:proofErr w:type="spellStart"/>
      <w:r w:rsidR="00506CF4" w:rsidRPr="001B57BA">
        <w:t>Fabrício</w:t>
      </w:r>
      <w:proofErr w:type="spellEnd"/>
      <w:r w:rsidR="00506CF4">
        <w:t xml:space="preserve"> et al., 2020; Sargent et al., 2018).</w:t>
      </w:r>
      <w:r w:rsidR="00F227DD" w:rsidRPr="00F74DED">
        <w:t xml:space="preserve"> </w:t>
      </w:r>
      <w:r w:rsidR="00A01B84">
        <w:t>Studies of older adults suggest that in late life processing speed may predict frailty (</w:t>
      </w:r>
      <w:r w:rsidR="007F0883">
        <w:t>Gale et al., 2017</w:t>
      </w:r>
      <w:r w:rsidR="00A01B84">
        <w:t>), but associations in earlier developmental periods i</w:t>
      </w:r>
      <w:r w:rsidR="00C24F38">
        <w:t>s</w:t>
      </w:r>
      <w:r w:rsidR="00A01B84">
        <w:t xml:space="preserve"> unknown.  </w:t>
      </w:r>
      <w:r w:rsidR="00CE656C" w:rsidRPr="00F74DED">
        <w:t xml:space="preserve">By </w:t>
      </w:r>
      <w:r w:rsidR="00B10523" w:rsidRPr="00F74DED">
        <w:t>using data</w:t>
      </w:r>
      <w:r w:rsidR="00B220E4">
        <w:t xml:space="preserve"> from</w:t>
      </w:r>
      <w:r w:rsidR="00B10523" w:rsidRPr="00F74DED">
        <w:t xml:space="preserve"> </w:t>
      </w:r>
      <w:proofErr w:type="spellStart"/>
      <w:r w:rsidR="00CE656C" w:rsidRPr="00F74DED">
        <w:rPr>
          <w:color w:val="000000"/>
        </w:rPr>
        <w:t>CATSLife</w:t>
      </w:r>
      <w:proofErr w:type="spellEnd"/>
      <w:r w:rsidR="00CE656C" w:rsidRPr="00F74DED">
        <w:t>, w</w:t>
      </w:r>
      <w:r w:rsidR="00CE656C" w:rsidRPr="00F74DED">
        <w:rPr>
          <w:color w:val="000000"/>
        </w:rPr>
        <w:t>e have constructed a 24-item frailty index</w:t>
      </w:r>
      <w:r w:rsidR="00B10523" w:rsidRPr="00F74DED">
        <w:rPr>
          <w:color w:val="000000"/>
        </w:rPr>
        <w:t xml:space="preserve"> measure</w:t>
      </w:r>
      <w:r w:rsidR="00932FB5">
        <w:rPr>
          <w:color w:val="000000"/>
        </w:rPr>
        <w:t xml:space="preserve"> </w:t>
      </w:r>
      <w:r w:rsidR="00932FB5" w:rsidRPr="00F74DED">
        <w:rPr>
          <w:color w:val="000000"/>
        </w:rPr>
        <w:t>based on scoring guidelines established in Searle et al. (2008) and consist</w:t>
      </w:r>
      <w:r w:rsidR="00932FB5">
        <w:rPr>
          <w:color w:val="000000"/>
        </w:rPr>
        <w:t>s</w:t>
      </w:r>
      <w:r w:rsidR="00932FB5" w:rsidRPr="00F74DED">
        <w:rPr>
          <w:color w:val="000000"/>
        </w:rPr>
        <w:t xml:space="preserve"> of anthropomorphic measures, objective health, and perceived health and engagement</w:t>
      </w:r>
      <w:r w:rsidR="00932FB5">
        <w:rPr>
          <w:color w:val="000000"/>
        </w:rPr>
        <w:t>. Although, Searle et al. (2008) original measure consisted of 30 items, which previous work (</w:t>
      </w:r>
      <w:proofErr w:type="spellStart"/>
      <w:r w:rsidR="00932FB5">
        <w:rPr>
          <w:color w:val="000000"/>
        </w:rPr>
        <w:t>Kehler</w:t>
      </w:r>
      <w:proofErr w:type="spellEnd"/>
      <w:r w:rsidR="00932FB5">
        <w:rPr>
          <w:color w:val="000000"/>
        </w:rPr>
        <w:t xml:space="preserve"> et al., 2008) examining frailty younger adults have utilized short developed scales</w:t>
      </w:r>
      <w:r w:rsidR="00F227DD" w:rsidRPr="00F74DED">
        <w:rPr>
          <w:color w:val="000000"/>
        </w:rPr>
        <w:t xml:space="preserve">. </w:t>
      </w:r>
      <w:r w:rsidR="00B10523" w:rsidRPr="00F74DED">
        <w:rPr>
          <w:color w:val="000000"/>
        </w:rPr>
        <w:t xml:space="preserve">The next steps in the proposed research project will </w:t>
      </w:r>
      <w:r w:rsidR="00F74DED" w:rsidRPr="00F74DED">
        <w:rPr>
          <w:color w:val="000000"/>
        </w:rPr>
        <w:t xml:space="preserve">use the created frailty measure and </w:t>
      </w:r>
      <w:r w:rsidR="00B10523" w:rsidRPr="00F74DED">
        <w:rPr>
          <w:color w:val="000000"/>
        </w:rPr>
        <w:t xml:space="preserve">examine </w:t>
      </w:r>
      <w:r w:rsidR="00F74DED" w:rsidRPr="00F74DED">
        <w:rPr>
          <w:color w:val="000000"/>
        </w:rPr>
        <w:t xml:space="preserve">how frailty </w:t>
      </w:r>
      <w:r w:rsidR="00023221">
        <w:rPr>
          <w:color w:val="000000"/>
        </w:rPr>
        <w:t>and SES are</w:t>
      </w:r>
      <w:r w:rsidR="00B10523" w:rsidRPr="00F74DED">
        <w:rPr>
          <w:color w:val="000000"/>
        </w:rPr>
        <w:t xml:space="preserve"> </w:t>
      </w:r>
      <w:r w:rsidR="00023221" w:rsidRPr="00F74DED">
        <w:rPr>
          <w:color w:val="000000"/>
        </w:rPr>
        <w:t>associated</w:t>
      </w:r>
      <w:r w:rsidR="00B10523" w:rsidRPr="00F74DED">
        <w:rPr>
          <w:color w:val="000000"/>
        </w:rPr>
        <w:t xml:space="preserve"> with processing speed performance using the Colorado Perceptual Speed and the Digit Symbol</w:t>
      </w:r>
      <w:r w:rsidR="00F74DED" w:rsidRPr="00F74DED">
        <w:rPr>
          <w:color w:val="000000"/>
        </w:rPr>
        <w:t xml:space="preserve"> tests</w:t>
      </w:r>
      <w:r w:rsidR="00B10523" w:rsidRPr="00F74DED">
        <w:rPr>
          <w:color w:val="000000"/>
        </w:rPr>
        <w:t xml:space="preserve">. Lastly, we will examine the interrelationship of frailty between sibling pairs to determine </w:t>
      </w:r>
      <w:r w:rsidR="00E32974">
        <w:rPr>
          <w:color w:val="000000"/>
        </w:rPr>
        <w:t>bounds of reliability of the FI measure</w:t>
      </w:r>
      <w:r w:rsidR="00B10523" w:rsidRPr="00F74DED">
        <w:rPr>
          <w:color w:val="000000"/>
        </w:rPr>
        <w:t xml:space="preserve">. </w:t>
      </w:r>
    </w:p>
    <w:p w14:paraId="71523AFE" w14:textId="07A81D94" w:rsidR="00045D03" w:rsidRDefault="00045D03" w:rsidP="00517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03">
        <w:rPr>
          <w:rFonts w:ascii="Times New Roman" w:eastAsia="Times New Roman" w:hAnsi="Times New Roman" w:cs="Times New Roman"/>
          <w:sz w:val="24"/>
          <w:szCs w:val="24"/>
        </w:rPr>
        <w:t>Brunner, E. J., Shipley, M. J., Ahmadi-</w:t>
      </w:r>
      <w:proofErr w:type="spellStart"/>
      <w:r w:rsidRPr="00045D03">
        <w:rPr>
          <w:rFonts w:ascii="Times New Roman" w:eastAsia="Times New Roman" w:hAnsi="Times New Roman" w:cs="Times New Roman"/>
          <w:sz w:val="24"/>
          <w:szCs w:val="24"/>
        </w:rPr>
        <w:t>Abhari</w:t>
      </w:r>
      <w:proofErr w:type="spellEnd"/>
      <w:r w:rsidRPr="00045D03">
        <w:rPr>
          <w:rFonts w:ascii="Times New Roman" w:eastAsia="Times New Roman" w:hAnsi="Times New Roman" w:cs="Times New Roman"/>
          <w:sz w:val="24"/>
          <w:szCs w:val="24"/>
        </w:rPr>
        <w:t>, S., Valencia Hernandez, C., Abell, J. G., Singh-</w:t>
      </w:r>
      <w:proofErr w:type="spellStart"/>
      <w:r w:rsidRPr="00045D03">
        <w:rPr>
          <w:rFonts w:ascii="Times New Roman" w:eastAsia="Times New Roman" w:hAnsi="Times New Roman" w:cs="Times New Roman"/>
          <w:sz w:val="24"/>
          <w:szCs w:val="24"/>
        </w:rPr>
        <w:t>Manoux</w:t>
      </w:r>
      <w:proofErr w:type="spellEnd"/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A., … </w:t>
      </w:r>
      <w:proofErr w:type="spellStart"/>
      <w:r w:rsidRPr="00045D03">
        <w:rPr>
          <w:rFonts w:ascii="Times New Roman" w:eastAsia="Times New Roman" w:hAnsi="Times New Roman" w:cs="Times New Roman"/>
          <w:sz w:val="24"/>
          <w:szCs w:val="24"/>
        </w:rPr>
        <w:t>Kivimaki</w:t>
      </w:r>
      <w:proofErr w:type="spellEnd"/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M. (2018). Midlife contributors to socioeconomic differences in frailty during later life: a prospective cohort study. </w:t>
      </w:r>
      <w:r w:rsidRPr="00045D03">
        <w:rPr>
          <w:rFonts w:ascii="Times New Roman" w:eastAsia="Times New Roman" w:hAnsi="Times New Roman" w:cs="Times New Roman"/>
          <w:i/>
          <w:iCs/>
          <w:sz w:val="24"/>
          <w:szCs w:val="24"/>
        </w:rPr>
        <w:t>The Lancet Public Health</w:t>
      </w:r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5D0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45D03">
        <w:rPr>
          <w:rFonts w:ascii="Times New Roman" w:eastAsia="Times New Roman" w:hAnsi="Times New Roman" w:cs="Times New Roman"/>
          <w:sz w:val="24"/>
          <w:szCs w:val="24"/>
        </w:rPr>
        <w:t>(7), e313–e322. https://doi.org/10.1016/s2468-2667(18)30079-3</w:t>
      </w:r>
    </w:p>
    <w:p w14:paraId="66538E46" w14:textId="03FD5233" w:rsidR="001B57BA" w:rsidRDefault="001B57BA" w:rsidP="001B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7BA">
        <w:rPr>
          <w:rFonts w:ascii="Times New Roman" w:eastAsia="Times New Roman" w:hAnsi="Times New Roman" w:cs="Times New Roman"/>
          <w:sz w:val="24"/>
          <w:szCs w:val="24"/>
        </w:rPr>
        <w:t>Fabrício</w:t>
      </w:r>
      <w:proofErr w:type="spellEnd"/>
      <w:r w:rsidRPr="001B57BA">
        <w:rPr>
          <w:rFonts w:ascii="Times New Roman" w:eastAsia="Times New Roman" w:hAnsi="Times New Roman" w:cs="Times New Roman"/>
          <w:sz w:val="24"/>
          <w:szCs w:val="24"/>
        </w:rPr>
        <w:t xml:space="preserve">, D. M., Chagas, M. H. N., &amp; </w:t>
      </w:r>
      <w:proofErr w:type="spellStart"/>
      <w:r w:rsidRPr="001B57BA">
        <w:rPr>
          <w:rFonts w:ascii="Times New Roman" w:eastAsia="Times New Roman" w:hAnsi="Times New Roman" w:cs="Times New Roman"/>
          <w:sz w:val="24"/>
          <w:szCs w:val="24"/>
        </w:rPr>
        <w:t>Diniz</w:t>
      </w:r>
      <w:proofErr w:type="spellEnd"/>
      <w:r w:rsidRPr="001B57BA">
        <w:rPr>
          <w:rFonts w:ascii="Times New Roman" w:eastAsia="Times New Roman" w:hAnsi="Times New Roman" w:cs="Times New Roman"/>
          <w:sz w:val="24"/>
          <w:szCs w:val="24"/>
        </w:rPr>
        <w:t xml:space="preserve">, B. S. (2020). Frailty and cognitive decline. </w:t>
      </w:r>
      <w:r w:rsidRPr="001B57BA">
        <w:rPr>
          <w:rFonts w:ascii="Times New Roman" w:eastAsia="Times New Roman" w:hAnsi="Times New Roman" w:cs="Times New Roman"/>
          <w:i/>
          <w:iCs/>
          <w:sz w:val="24"/>
          <w:szCs w:val="24"/>
        </w:rPr>
        <w:t>Translational Research</w:t>
      </w:r>
      <w:r w:rsidRPr="001B57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57BA">
        <w:rPr>
          <w:rFonts w:ascii="Times New Roman" w:eastAsia="Times New Roman" w:hAnsi="Times New Roman" w:cs="Times New Roman"/>
          <w:i/>
          <w:iCs/>
          <w:sz w:val="24"/>
          <w:szCs w:val="24"/>
        </w:rPr>
        <w:t>221</w:t>
      </w:r>
      <w:r w:rsidRPr="001B57BA">
        <w:rPr>
          <w:rFonts w:ascii="Times New Roman" w:eastAsia="Times New Roman" w:hAnsi="Times New Roman" w:cs="Times New Roman"/>
          <w:sz w:val="24"/>
          <w:szCs w:val="24"/>
        </w:rPr>
        <w:t>, 58–64. https://doi.org/10.1016/j.trsl.2020.01.002</w:t>
      </w:r>
    </w:p>
    <w:p w14:paraId="2A0051FE" w14:textId="42EBACDE" w:rsidR="007F0883" w:rsidRDefault="007F0883" w:rsidP="00517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883">
        <w:rPr>
          <w:rFonts w:ascii="Times New Roman" w:eastAsia="Times New Roman" w:hAnsi="Times New Roman" w:cs="Times New Roman"/>
          <w:sz w:val="24"/>
          <w:szCs w:val="24"/>
        </w:rPr>
        <w:t xml:space="preserve">Gale, C. R., Ritchie, S. J., Cooper, C., Starr, J. M., &amp; Deary, I. J. (2017). Cognitive Ability in Late Life and Onset of Physical Frailty: The Lothian Birth Cohort 1936. </w:t>
      </w:r>
      <w:r w:rsidRPr="007F088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Geriatrics Society</w:t>
      </w:r>
      <w:r w:rsidRPr="007F0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0883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7F0883">
        <w:rPr>
          <w:rFonts w:ascii="Times New Roman" w:eastAsia="Times New Roman" w:hAnsi="Times New Roman" w:cs="Times New Roman"/>
          <w:sz w:val="24"/>
          <w:szCs w:val="24"/>
        </w:rPr>
        <w:t>(6), 1289–1295. https://doi.org/10.1111/jgs.14787</w:t>
      </w:r>
    </w:p>
    <w:p w14:paraId="6766F3CE" w14:textId="4820B659" w:rsidR="00517B23" w:rsidRPr="00517B23" w:rsidRDefault="00517B23" w:rsidP="00517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B23">
        <w:rPr>
          <w:rFonts w:ascii="Times New Roman" w:eastAsia="Times New Roman" w:hAnsi="Times New Roman" w:cs="Times New Roman"/>
          <w:sz w:val="24"/>
          <w:szCs w:val="24"/>
        </w:rPr>
        <w:lastRenderedPageBreak/>
        <w:t>Kehler</w:t>
      </w:r>
      <w:proofErr w:type="spellEnd"/>
      <w:r w:rsidRPr="00517B23">
        <w:rPr>
          <w:rFonts w:ascii="Times New Roman" w:eastAsia="Times New Roman" w:hAnsi="Times New Roman" w:cs="Times New Roman"/>
          <w:sz w:val="24"/>
          <w:szCs w:val="24"/>
        </w:rPr>
        <w:t xml:space="preserve">, D. S., Ferguson, T., Stammers, A. N., Bohm, C., Arora, R. C., Duhamel, T. A., &amp; </w:t>
      </w:r>
      <w:proofErr w:type="spellStart"/>
      <w:r w:rsidRPr="00517B23">
        <w:rPr>
          <w:rFonts w:ascii="Times New Roman" w:eastAsia="Times New Roman" w:hAnsi="Times New Roman" w:cs="Times New Roman"/>
          <w:sz w:val="24"/>
          <w:szCs w:val="24"/>
        </w:rPr>
        <w:t>Tangri</w:t>
      </w:r>
      <w:proofErr w:type="spellEnd"/>
      <w:r w:rsidRPr="00517B2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B23">
        <w:rPr>
          <w:rFonts w:ascii="Times New Roman" w:eastAsia="Times New Roman" w:hAnsi="Times New Roman" w:cs="Times New Roman"/>
          <w:sz w:val="24"/>
          <w:szCs w:val="24"/>
        </w:rPr>
        <w:t xml:space="preserve">N. (2017). Prevalence of frailty in Canadians 18–79 years old in the Canadian Health Measures Survey. </w:t>
      </w:r>
      <w:r w:rsidRPr="00517B23">
        <w:rPr>
          <w:rFonts w:ascii="Times New Roman" w:eastAsia="Times New Roman" w:hAnsi="Times New Roman" w:cs="Times New Roman"/>
          <w:i/>
          <w:iCs/>
          <w:sz w:val="24"/>
          <w:szCs w:val="24"/>
        </w:rPr>
        <w:t>BMC Geriatrics</w:t>
      </w:r>
      <w:r w:rsidRPr="00517B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7B23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17B23">
        <w:rPr>
          <w:rFonts w:ascii="Times New Roman" w:eastAsia="Times New Roman" w:hAnsi="Times New Roman" w:cs="Times New Roman"/>
          <w:sz w:val="24"/>
          <w:szCs w:val="24"/>
        </w:rPr>
        <w:t>(1), 28. https://doi.org/10.1186/s12877-017-0423-6</w:t>
      </w:r>
    </w:p>
    <w:p w14:paraId="130E8D89" w14:textId="42D102D8" w:rsidR="00CE656C" w:rsidRPr="00F74DED" w:rsidRDefault="0089197F" w:rsidP="00B132E3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Mitnitski</w:t>
      </w:r>
      <w:proofErr w:type="spellEnd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B., Mogilner, A. J., &amp; Rockwood, K. (2001). Accumulation of deficits as a proxy measure of aging. </w:t>
      </w:r>
      <w:r w:rsidRPr="00F74D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Scientific World Journal</w:t>
      </w:r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74D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323-336.</w:t>
      </w:r>
    </w:p>
    <w:p w14:paraId="305880C2" w14:textId="77777777" w:rsidR="00F74DED" w:rsidRPr="00F74DED" w:rsidRDefault="00F74DED" w:rsidP="00B132E3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71A272" w14:textId="77777777" w:rsidR="0061747A" w:rsidRPr="0061747A" w:rsidRDefault="0061747A" w:rsidP="0061747A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Rockwood, K., &amp; </w:t>
      </w:r>
      <w:bookmarkStart w:id="3" w:name="OLE_LINK3"/>
      <w:bookmarkStart w:id="4" w:name="OLE_LINK4"/>
      <w:proofErr w:type="spellStart"/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Mitnitski</w:t>
      </w:r>
      <w:bookmarkEnd w:id="3"/>
      <w:bookmarkEnd w:id="4"/>
      <w:proofErr w:type="spellEnd"/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(2007). Frailty in relation to the accumulation of deficits. </w:t>
      </w:r>
      <w:r w:rsidRPr="006174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Journals of Gerontology Series A: Biological Sciences and Medical Sciences</w:t>
      </w:r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174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722-727.</w:t>
      </w:r>
    </w:p>
    <w:p w14:paraId="68A9E12B" w14:textId="77777777" w:rsidR="0061747A" w:rsidRDefault="0061747A" w:rsidP="0061747A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7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A417F28" w14:textId="0497EAAC" w:rsidR="00045D03" w:rsidRPr="00045D03" w:rsidRDefault="00045D03" w:rsidP="00045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Sargent, L., </w:t>
      </w:r>
      <w:proofErr w:type="spellStart"/>
      <w:r w:rsidRPr="00045D03">
        <w:rPr>
          <w:rFonts w:ascii="Times New Roman" w:eastAsia="Times New Roman" w:hAnsi="Times New Roman" w:cs="Times New Roman"/>
          <w:sz w:val="24"/>
          <w:szCs w:val="24"/>
        </w:rPr>
        <w:t>Nalls</w:t>
      </w:r>
      <w:proofErr w:type="spellEnd"/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M., Starkweather, A., Hobgood, S., Thompson, H., </w:t>
      </w:r>
      <w:proofErr w:type="spellStart"/>
      <w:r w:rsidRPr="00045D03">
        <w:rPr>
          <w:rFonts w:ascii="Times New Roman" w:eastAsia="Times New Roman" w:hAnsi="Times New Roman" w:cs="Times New Roman"/>
          <w:sz w:val="24"/>
          <w:szCs w:val="24"/>
        </w:rPr>
        <w:t>Amella</w:t>
      </w:r>
      <w:proofErr w:type="spellEnd"/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E. J., &amp; Singleton, A. (2018). Shared biological pathways for frailty and cognitive impairment: A systematic review. </w:t>
      </w:r>
      <w:r w:rsidRPr="00045D03">
        <w:rPr>
          <w:rFonts w:ascii="Times New Roman" w:eastAsia="Times New Roman" w:hAnsi="Times New Roman" w:cs="Times New Roman"/>
          <w:i/>
          <w:iCs/>
          <w:sz w:val="24"/>
          <w:szCs w:val="24"/>
        </w:rPr>
        <w:t>Ageing Research Reviews</w:t>
      </w:r>
      <w:r w:rsidRPr="00045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5D03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045D03">
        <w:rPr>
          <w:rFonts w:ascii="Times New Roman" w:eastAsia="Times New Roman" w:hAnsi="Times New Roman" w:cs="Times New Roman"/>
          <w:sz w:val="24"/>
          <w:szCs w:val="24"/>
        </w:rPr>
        <w:t>, 149–158. https://doi.org/10.1016/j.arr.2018.08.001</w:t>
      </w:r>
    </w:p>
    <w:p w14:paraId="4E5070F6" w14:textId="57837C39" w:rsidR="00F74DED" w:rsidRPr="00F74DED" w:rsidRDefault="00F74DED" w:rsidP="0061747A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Searle, S. D., </w:t>
      </w:r>
      <w:proofErr w:type="spellStart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Mitnitski</w:t>
      </w:r>
      <w:proofErr w:type="spellEnd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Gahbauer</w:t>
      </w:r>
      <w:proofErr w:type="spellEnd"/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A., Gill, T. M., &amp; Rockwood, K. (2008). A standard procedure for creating a frailty index. </w:t>
      </w:r>
      <w:r w:rsidRPr="00F74D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geriatrics</w:t>
      </w:r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74D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F74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1-10.</w:t>
      </w:r>
    </w:p>
    <w:p w14:paraId="7F0A6913" w14:textId="77777777" w:rsidR="0089197F" w:rsidRPr="00F74DED" w:rsidRDefault="0089197F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6E0AB1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9D0DD5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>Sample(s): CATSLif</w:t>
      </w:r>
      <w:r w:rsidR="00B10523" w:rsidRPr="00F74DED">
        <w:rPr>
          <w:rFonts w:ascii="Times New Roman" w:hAnsi="Times New Roman" w:cs="Times New Roman"/>
          <w:sz w:val="24"/>
          <w:szCs w:val="24"/>
        </w:rPr>
        <w:t>e</w:t>
      </w:r>
    </w:p>
    <w:p w14:paraId="51285C93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745616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 xml:space="preserve">Process Stage: Idea Formation </w:t>
      </w:r>
    </w:p>
    <w:p w14:paraId="4E1745EF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E2C7A6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>Start Date (YYYY-MO): 2020-</w:t>
      </w:r>
      <w:r w:rsidR="00B10523" w:rsidRPr="00F74DED">
        <w:rPr>
          <w:rFonts w:ascii="Times New Roman" w:hAnsi="Times New Roman" w:cs="Times New Roman"/>
          <w:sz w:val="24"/>
          <w:szCs w:val="24"/>
        </w:rPr>
        <w:t>11</w:t>
      </w:r>
    </w:p>
    <w:p w14:paraId="301225BD" w14:textId="77777777" w:rsidR="00B132E3" w:rsidRPr="00F74DED" w:rsidRDefault="00B132E3" w:rsidP="00B132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DED">
        <w:rPr>
          <w:rFonts w:ascii="Times New Roman" w:hAnsi="Times New Roman" w:cs="Times New Roman"/>
          <w:sz w:val="24"/>
          <w:szCs w:val="24"/>
        </w:rPr>
        <w:t>Last Update (YYYY-MO): 2020-</w:t>
      </w:r>
      <w:r w:rsidR="00B10523" w:rsidRPr="00F74DED">
        <w:rPr>
          <w:rFonts w:ascii="Times New Roman" w:hAnsi="Times New Roman" w:cs="Times New Roman"/>
          <w:sz w:val="24"/>
          <w:szCs w:val="24"/>
        </w:rPr>
        <w:t>11</w:t>
      </w:r>
    </w:p>
    <w:sectPr w:rsidR="00B132E3" w:rsidRPr="00F74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za2sDQ2MjM2MTVU0lEKTi0uzszPAykwqgUACXl7HiwAAAA="/>
  </w:docVars>
  <w:rsids>
    <w:rsidRoot w:val="00B132E3"/>
    <w:rsid w:val="00023221"/>
    <w:rsid w:val="00045D03"/>
    <w:rsid w:val="000E5C84"/>
    <w:rsid w:val="00195F74"/>
    <w:rsid w:val="001B57BA"/>
    <w:rsid w:val="003D4329"/>
    <w:rsid w:val="00506CF4"/>
    <w:rsid w:val="00517B23"/>
    <w:rsid w:val="00536A13"/>
    <w:rsid w:val="0061747A"/>
    <w:rsid w:val="006446C2"/>
    <w:rsid w:val="006E40E8"/>
    <w:rsid w:val="006F187F"/>
    <w:rsid w:val="007154BD"/>
    <w:rsid w:val="00734923"/>
    <w:rsid w:val="007F0883"/>
    <w:rsid w:val="008909F1"/>
    <w:rsid w:val="0089197F"/>
    <w:rsid w:val="00932FB5"/>
    <w:rsid w:val="00A01B84"/>
    <w:rsid w:val="00A317A3"/>
    <w:rsid w:val="00B10523"/>
    <w:rsid w:val="00B132E3"/>
    <w:rsid w:val="00B14F41"/>
    <w:rsid w:val="00B220E4"/>
    <w:rsid w:val="00C24F38"/>
    <w:rsid w:val="00CE656C"/>
    <w:rsid w:val="00DE3C0B"/>
    <w:rsid w:val="00E32974"/>
    <w:rsid w:val="00E823A2"/>
    <w:rsid w:val="00E951A4"/>
    <w:rsid w:val="00F227DD"/>
    <w:rsid w:val="00F736E6"/>
    <w:rsid w:val="00F7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577F"/>
  <w15:chartTrackingRefBased/>
  <w15:docId w15:val="{B55AEB0B-FC11-40E3-9DE0-A8370A4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4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Shandell</dc:creator>
  <cp:keywords/>
  <dc:description/>
  <cp:lastModifiedBy>Robin Paul Corley</cp:lastModifiedBy>
  <cp:revision>2</cp:revision>
  <dcterms:created xsi:type="dcterms:W3CDTF">2021-05-11T19:10:00Z</dcterms:created>
  <dcterms:modified xsi:type="dcterms:W3CDTF">2021-05-11T19:10:00Z</dcterms:modified>
</cp:coreProperties>
</file>