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C0" w:rsidRDefault="00C055C0">
      <w:r>
        <w:t>The following chart is inten</w:t>
      </w:r>
      <w:r w:rsidR="005351AA">
        <w:t>ded to help you decide which fun</w:t>
      </w:r>
      <w:r>
        <w:t>ding, IRB, and publication citations you should use when publishing using some of the overlapping human research data at IBG.</w:t>
      </w:r>
      <w:r w:rsidR="005351AA">
        <w:t xml:space="preserve"> As data collection grants</w:t>
      </w:r>
      <w:r w:rsidR="00B45D2D">
        <w:t xml:space="preserve"> </w:t>
      </w:r>
      <w:r w:rsidR="005351AA">
        <w:t xml:space="preserve">for these projects </w:t>
      </w:r>
      <w:r w:rsidR="00B45D2D">
        <w:t xml:space="preserve">have expired, data maintenance and analysis have been moved to </w:t>
      </w:r>
      <w:r w:rsidR="003D2A6A">
        <w:t xml:space="preserve">three </w:t>
      </w:r>
      <w:r w:rsidR="00B45D2D">
        <w:t>active grants. These active grants and their associated IRB approvals must always be cited when using these data, but in some cases PIs require that you also use the</w:t>
      </w:r>
      <w:r w:rsidR="003D2A6A">
        <w:t xml:space="preserve"> expired grants if you use the </w:t>
      </w:r>
      <w:r w:rsidR="00B45D2D">
        <w:t xml:space="preserve">specific </w:t>
      </w:r>
      <w:r w:rsidR="006D1F10">
        <w:t xml:space="preserve">parts of the </w:t>
      </w:r>
      <w:r w:rsidR="00B45D2D">
        <w:t>data</w:t>
      </w:r>
      <w:r w:rsidR="006D1F10">
        <w:t xml:space="preserve"> set</w:t>
      </w:r>
      <w:r w:rsidR="00B45D2D">
        <w:t xml:space="preserve"> </w:t>
      </w:r>
      <w:r w:rsidR="003D2A6A">
        <w:t xml:space="preserve">that </w:t>
      </w:r>
      <w:r w:rsidR="00B45D2D">
        <w:t>were collected</w:t>
      </w:r>
      <w:r w:rsidR="003D2A6A">
        <w:t xml:space="preserve"> using these grants</w:t>
      </w:r>
      <w:r w:rsidR="00B45D2D">
        <w:t xml:space="preserve">. </w:t>
      </w:r>
    </w:p>
    <w:p w:rsidR="006D1F10" w:rsidRDefault="006D1F10">
      <w:pPr>
        <w:rPr>
          <w:b/>
        </w:rPr>
      </w:pPr>
    </w:p>
    <w:p w:rsidR="006D1F10" w:rsidRDefault="006D1F10">
      <w:pPr>
        <w:rPr>
          <w:b/>
        </w:rPr>
      </w:pPr>
      <w:r w:rsidRPr="006D1F10">
        <w:rPr>
          <w:b/>
          <w:u w:val="single"/>
        </w:rPr>
        <w:t>Acronym</w:t>
      </w:r>
      <w:r>
        <w:rPr>
          <w:b/>
        </w:rPr>
        <w:tab/>
      </w:r>
      <w:r w:rsidRPr="006D1F10">
        <w:rPr>
          <w:b/>
          <w:u w:val="single"/>
        </w:rPr>
        <w:t>What it stands for</w:t>
      </w:r>
      <w:r>
        <w:rPr>
          <w:b/>
        </w:rPr>
        <w:tab/>
      </w:r>
      <w:r>
        <w:rPr>
          <w:b/>
        </w:rPr>
        <w:tab/>
      </w:r>
      <w:r>
        <w:rPr>
          <w:b/>
        </w:rPr>
        <w:tab/>
      </w:r>
      <w:r>
        <w:rPr>
          <w:b/>
        </w:rPr>
        <w:tab/>
      </w:r>
      <w:r>
        <w:rPr>
          <w:b/>
        </w:rPr>
        <w:tab/>
      </w:r>
      <w:r>
        <w:rPr>
          <w:b/>
        </w:rPr>
        <w:tab/>
      </w:r>
      <w:r>
        <w:rPr>
          <w:b/>
        </w:rPr>
        <w:tab/>
      </w:r>
      <w:proofErr w:type="gramStart"/>
      <w:r w:rsidRPr="006D1F10">
        <w:rPr>
          <w:b/>
          <w:u w:val="single"/>
        </w:rPr>
        <w:t>What</w:t>
      </w:r>
      <w:proofErr w:type="gramEnd"/>
      <w:r w:rsidRPr="006D1F10">
        <w:rPr>
          <w:b/>
          <w:u w:val="single"/>
        </w:rPr>
        <w:t xml:space="preserve"> it means</w:t>
      </w:r>
    </w:p>
    <w:p w:rsidR="00B45D2D" w:rsidRDefault="00C055C0">
      <w:r w:rsidRPr="00C055C0">
        <w:rPr>
          <w:b/>
        </w:rPr>
        <w:t>CADD</w:t>
      </w:r>
      <w:r w:rsidR="00B45D2D">
        <w:rPr>
          <w:b/>
        </w:rPr>
        <w:tab/>
      </w:r>
      <w:r w:rsidR="006D1F10">
        <w:rPr>
          <w:b/>
        </w:rPr>
        <w:tab/>
      </w:r>
      <w:r w:rsidR="00B45D2D">
        <w:t>Center for Adolescent Drug Dependence</w:t>
      </w:r>
      <w:r w:rsidR="006D1F10">
        <w:tab/>
      </w:r>
      <w:r w:rsidR="006D1F10">
        <w:tab/>
      </w:r>
      <w:r w:rsidR="006D1F10">
        <w:tab/>
      </w:r>
      <w:r w:rsidR="006D1F10">
        <w:tab/>
        <w:t>refers to a grant with multiple samples</w:t>
      </w:r>
    </w:p>
    <w:p w:rsidR="00C055C0" w:rsidRDefault="00C055C0">
      <w:r w:rsidRPr="00B45D2D">
        <w:rPr>
          <w:b/>
        </w:rPr>
        <w:t>GADD</w:t>
      </w:r>
      <w:r w:rsidR="00B45D2D">
        <w:tab/>
      </w:r>
      <w:r w:rsidR="006D1F10">
        <w:tab/>
      </w:r>
      <w:r>
        <w:t>Genetics of Adolescent Drug Dependence</w:t>
      </w:r>
      <w:r w:rsidR="006D1F10">
        <w:tab/>
      </w:r>
      <w:r w:rsidR="006D1F10">
        <w:tab/>
      </w:r>
      <w:r w:rsidR="006D1F10">
        <w:tab/>
      </w:r>
      <w:r w:rsidR="006D1F10">
        <w:tab/>
        <w:t>refers to a grant with multiple samples</w:t>
      </w:r>
    </w:p>
    <w:p w:rsidR="00B45D2D" w:rsidRDefault="00B45D2D">
      <w:r w:rsidRPr="00B45D2D">
        <w:rPr>
          <w:b/>
        </w:rPr>
        <w:t>CAP</w:t>
      </w:r>
      <w:r>
        <w:tab/>
      </w:r>
      <w:r w:rsidR="006D1F10">
        <w:tab/>
      </w:r>
      <w:r>
        <w:t>Colorado Adoption Project</w:t>
      </w:r>
      <w:r w:rsidR="006D1F10">
        <w:tab/>
      </w:r>
      <w:r w:rsidR="006D1F10">
        <w:tab/>
      </w:r>
      <w:r w:rsidR="006D1F10">
        <w:tab/>
      </w:r>
      <w:r w:rsidR="006D1F10">
        <w:tab/>
      </w:r>
      <w:r w:rsidR="006D1F10">
        <w:tab/>
      </w:r>
      <w:r w:rsidR="006D1F10">
        <w:tab/>
        <w:t>refers to a sample</w:t>
      </w:r>
    </w:p>
    <w:p w:rsidR="00B45D2D" w:rsidRDefault="00B45D2D">
      <w:r w:rsidRPr="00B45D2D">
        <w:rPr>
          <w:b/>
        </w:rPr>
        <w:t>LTS</w:t>
      </w:r>
      <w:r>
        <w:tab/>
      </w:r>
      <w:r w:rsidR="006D1F10">
        <w:tab/>
        <w:t>Longitudinal Twin Sample (or Study)</w:t>
      </w:r>
      <w:r w:rsidR="006D1F10">
        <w:tab/>
      </w:r>
      <w:r w:rsidR="006D1F10">
        <w:tab/>
      </w:r>
      <w:r w:rsidR="006D1F10">
        <w:tab/>
      </w:r>
      <w:r w:rsidR="006D1F10">
        <w:tab/>
      </w:r>
      <w:r w:rsidR="006D1F10">
        <w:tab/>
        <w:t>refers to a sample</w:t>
      </w:r>
      <w:r w:rsidR="006D1F10">
        <w:tab/>
      </w:r>
      <w:r w:rsidR="006D1F10">
        <w:tab/>
      </w:r>
      <w:r w:rsidR="006D1F10">
        <w:tab/>
      </w:r>
    </w:p>
    <w:p w:rsidR="00B45D2D" w:rsidRDefault="00B45D2D">
      <w:r w:rsidRPr="00B45D2D">
        <w:rPr>
          <w:b/>
        </w:rPr>
        <w:t>CTS</w:t>
      </w:r>
      <w:r>
        <w:tab/>
      </w:r>
      <w:r w:rsidR="006D1F10">
        <w:tab/>
      </w:r>
      <w:r>
        <w:t xml:space="preserve">Colorado Twin </w:t>
      </w:r>
      <w:r w:rsidR="006D1F10">
        <w:t>Sample</w:t>
      </w:r>
      <w:r>
        <w:t xml:space="preserve"> (</w:t>
      </w:r>
      <w:r w:rsidR="006D1F10">
        <w:t xml:space="preserve">or </w:t>
      </w:r>
      <w:r>
        <w:t>Community</w:t>
      </w:r>
      <w:r w:rsidR="006D1F10">
        <w:t xml:space="preserve"> …and/or… </w:t>
      </w:r>
      <w:r>
        <w:t>Study)</w:t>
      </w:r>
      <w:r w:rsidR="006D1F10">
        <w:tab/>
      </w:r>
      <w:r w:rsidR="006D1F10">
        <w:tab/>
      </w:r>
      <w:r w:rsidR="006D1F10">
        <w:tab/>
        <w:t>refers to a sample</w:t>
      </w:r>
    </w:p>
    <w:p w:rsidR="00B45D2D" w:rsidRDefault="00B45D2D">
      <w:proofErr w:type="spellStart"/>
      <w:r w:rsidRPr="00B45D2D">
        <w:rPr>
          <w:b/>
        </w:rPr>
        <w:t>CATSLife</w:t>
      </w:r>
      <w:proofErr w:type="spellEnd"/>
      <w:r>
        <w:tab/>
        <w:t>Colorado Adoption and Twin Study of Lifespan Development</w:t>
      </w:r>
      <w:r w:rsidR="006D1F10">
        <w:tab/>
      </w:r>
      <w:r w:rsidR="006D1F10">
        <w:tab/>
      </w:r>
      <w:r w:rsidR="003D2A6A">
        <w:t>refers to a grant using</w:t>
      </w:r>
      <w:r w:rsidR="006D1F10">
        <w:t xml:space="preserve"> CAP &amp; LTS</w:t>
      </w:r>
    </w:p>
    <w:p w:rsidR="006D1F10" w:rsidRDefault="006D1F10">
      <w:r w:rsidRPr="006D1F10">
        <w:rPr>
          <w:b/>
        </w:rPr>
        <w:t>EF</w:t>
      </w:r>
      <w:r>
        <w:tab/>
      </w:r>
      <w:r>
        <w:tab/>
        <w:t>Executive Function</w:t>
      </w:r>
      <w:r>
        <w:tab/>
      </w:r>
      <w:r>
        <w:tab/>
      </w:r>
      <w:r>
        <w:tab/>
      </w:r>
      <w:r>
        <w:tab/>
      </w:r>
      <w:r>
        <w:tab/>
      </w:r>
      <w:r>
        <w:tab/>
      </w:r>
      <w:r>
        <w:tab/>
        <w:t>refers to a series of grants using LTS &amp; CTS</w:t>
      </w:r>
    </w:p>
    <w:p w:rsidR="00B45D2D" w:rsidRDefault="00B45D2D"/>
    <w:p w:rsidR="00B45D2D" w:rsidRDefault="00C055C0" w:rsidP="00B45D2D">
      <w:r>
        <w:tab/>
      </w:r>
    </w:p>
    <w:p w:rsidR="00C055C0" w:rsidRDefault="00C055C0">
      <w:r>
        <w:br w:type="page"/>
      </w:r>
    </w:p>
    <w:tbl>
      <w:tblPr>
        <w:tblStyle w:val="TableGrid"/>
        <w:tblW w:w="14448" w:type="dxa"/>
        <w:tblLook w:val="04A0" w:firstRow="1" w:lastRow="0" w:firstColumn="1" w:lastColumn="0" w:noHBand="0" w:noVBand="1"/>
      </w:tblPr>
      <w:tblGrid>
        <w:gridCol w:w="1122"/>
        <w:gridCol w:w="2288"/>
        <w:gridCol w:w="1152"/>
        <w:gridCol w:w="1728"/>
        <w:gridCol w:w="2398"/>
        <w:gridCol w:w="2160"/>
        <w:gridCol w:w="2304"/>
        <w:gridCol w:w="1296"/>
      </w:tblGrid>
      <w:tr w:rsidR="00172414" w:rsidTr="00D45289">
        <w:tc>
          <w:tcPr>
            <w:tcW w:w="1122" w:type="dxa"/>
          </w:tcPr>
          <w:p w:rsidR="00853D7D" w:rsidRPr="00172414" w:rsidRDefault="00853D7D">
            <w:pPr>
              <w:rPr>
                <w:b/>
              </w:rPr>
            </w:pPr>
            <w:r w:rsidRPr="00172414">
              <w:rPr>
                <w:b/>
              </w:rPr>
              <w:lastRenderedPageBreak/>
              <w:t>Data Set</w:t>
            </w:r>
          </w:p>
        </w:tc>
        <w:tc>
          <w:tcPr>
            <w:tcW w:w="2288" w:type="dxa"/>
          </w:tcPr>
          <w:p w:rsidR="00853D7D" w:rsidRPr="00172414" w:rsidRDefault="00853D7D">
            <w:pPr>
              <w:rPr>
                <w:b/>
              </w:rPr>
            </w:pPr>
            <w:r w:rsidRPr="00172414">
              <w:rPr>
                <w:b/>
              </w:rPr>
              <w:t>Description</w:t>
            </w:r>
          </w:p>
        </w:tc>
        <w:tc>
          <w:tcPr>
            <w:tcW w:w="1152" w:type="dxa"/>
          </w:tcPr>
          <w:p w:rsidR="00853D7D" w:rsidRPr="00172414" w:rsidRDefault="00853D7D">
            <w:pPr>
              <w:rPr>
                <w:b/>
              </w:rPr>
            </w:pPr>
            <w:r w:rsidRPr="00172414">
              <w:rPr>
                <w:b/>
              </w:rPr>
              <w:t>IRB</w:t>
            </w:r>
          </w:p>
        </w:tc>
        <w:tc>
          <w:tcPr>
            <w:tcW w:w="1728" w:type="dxa"/>
          </w:tcPr>
          <w:p w:rsidR="00853D7D" w:rsidRPr="00172414" w:rsidRDefault="00853D7D">
            <w:pPr>
              <w:rPr>
                <w:b/>
              </w:rPr>
            </w:pPr>
            <w:r w:rsidRPr="00172414">
              <w:rPr>
                <w:b/>
                <w:i/>
              </w:rPr>
              <w:t>Must</w:t>
            </w:r>
            <w:r w:rsidRPr="00172414">
              <w:rPr>
                <w:b/>
              </w:rPr>
              <w:t xml:space="preserve"> Cite Grant</w:t>
            </w:r>
            <w:r w:rsidR="00304763">
              <w:rPr>
                <w:b/>
              </w:rPr>
              <w:t xml:space="preserve"> </w:t>
            </w:r>
          </w:p>
          <w:p w:rsidR="00853D7D" w:rsidRPr="00172414" w:rsidRDefault="00853D7D">
            <w:pPr>
              <w:rPr>
                <w:b/>
              </w:rPr>
            </w:pPr>
            <w:r w:rsidRPr="00172414">
              <w:rPr>
                <w:b/>
              </w:rPr>
              <w:t>(holds IRB)</w:t>
            </w:r>
          </w:p>
        </w:tc>
        <w:tc>
          <w:tcPr>
            <w:tcW w:w="2398" w:type="dxa"/>
          </w:tcPr>
          <w:p w:rsidR="00853D7D" w:rsidRPr="00172414" w:rsidRDefault="00853D7D">
            <w:pPr>
              <w:rPr>
                <w:b/>
              </w:rPr>
            </w:pPr>
            <w:r w:rsidRPr="00172414">
              <w:rPr>
                <w:b/>
              </w:rPr>
              <w:t>PI</w:t>
            </w:r>
          </w:p>
        </w:tc>
        <w:tc>
          <w:tcPr>
            <w:tcW w:w="2160" w:type="dxa"/>
          </w:tcPr>
          <w:p w:rsidR="00853D7D" w:rsidRDefault="00172414" w:rsidP="008344A0">
            <w:pPr>
              <w:rPr>
                <w:b/>
              </w:rPr>
            </w:pPr>
            <w:r w:rsidRPr="00172414">
              <w:rPr>
                <w:b/>
              </w:rPr>
              <w:t>Original</w:t>
            </w:r>
            <w:r w:rsidR="008344A0">
              <w:rPr>
                <w:b/>
              </w:rPr>
              <w:t xml:space="preserve"> </w:t>
            </w:r>
            <w:r w:rsidR="00853D7D" w:rsidRPr="00172414">
              <w:rPr>
                <w:b/>
              </w:rPr>
              <w:t>Grants</w:t>
            </w:r>
            <w:r w:rsidR="00715F68" w:rsidRPr="00172414">
              <w:rPr>
                <w:b/>
              </w:rPr>
              <w:t>*</w:t>
            </w:r>
          </w:p>
          <w:p w:rsidR="008344A0" w:rsidRDefault="008344A0" w:rsidP="008344A0">
            <w:pPr>
              <w:rPr>
                <w:b/>
              </w:rPr>
            </w:pPr>
            <w:r>
              <w:rPr>
                <w:b/>
              </w:rPr>
              <w:t>(now expired)</w:t>
            </w:r>
          </w:p>
          <w:p w:rsidR="00694D76" w:rsidRPr="00694D76" w:rsidRDefault="00694D76" w:rsidP="008344A0">
            <w:pPr>
              <w:rPr>
                <w:b/>
                <w:color w:val="FF0000"/>
              </w:rPr>
            </w:pPr>
            <w:r>
              <w:rPr>
                <w:b/>
                <w:color w:val="FF0000"/>
              </w:rPr>
              <w:t>must cite RED ones</w:t>
            </w:r>
          </w:p>
        </w:tc>
        <w:tc>
          <w:tcPr>
            <w:tcW w:w="2304" w:type="dxa"/>
          </w:tcPr>
          <w:p w:rsidR="00853D7D" w:rsidRPr="00172414" w:rsidRDefault="00853D7D">
            <w:pPr>
              <w:rPr>
                <w:b/>
              </w:rPr>
            </w:pPr>
            <w:r w:rsidRPr="00172414">
              <w:rPr>
                <w:b/>
              </w:rPr>
              <w:t>Description</w:t>
            </w:r>
          </w:p>
        </w:tc>
        <w:tc>
          <w:tcPr>
            <w:tcW w:w="1296" w:type="dxa"/>
          </w:tcPr>
          <w:p w:rsidR="00853D7D" w:rsidRDefault="00853D7D">
            <w:pPr>
              <w:rPr>
                <w:b/>
              </w:rPr>
            </w:pPr>
            <w:r w:rsidRPr="00172414">
              <w:rPr>
                <w:b/>
              </w:rPr>
              <w:t>Primary References</w:t>
            </w:r>
          </w:p>
          <w:p w:rsidR="000577C4" w:rsidRPr="000577C4" w:rsidRDefault="00922964">
            <w:pPr>
              <w:rPr>
                <w:i/>
                <w:sz w:val="18"/>
                <w:szCs w:val="18"/>
              </w:rPr>
            </w:pPr>
            <w:r>
              <w:rPr>
                <w:i/>
                <w:sz w:val="18"/>
                <w:szCs w:val="18"/>
              </w:rPr>
              <w:t>(</w:t>
            </w:r>
            <w:r w:rsidR="000577C4" w:rsidRPr="000577C4">
              <w:rPr>
                <w:i/>
                <w:sz w:val="18"/>
                <w:szCs w:val="18"/>
              </w:rPr>
              <w:t>next page)</w:t>
            </w:r>
          </w:p>
        </w:tc>
      </w:tr>
      <w:tr w:rsidR="00172414" w:rsidTr="00D45289">
        <w:tc>
          <w:tcPr>
            <w:tcW w:w="1122" w:type="dxa"/>
          </w:tcPr>
          <w:p w:rsidR="00853D7D" w:rsidRDefault="00853D7D">
            <w:r>
              <w:t>CADD</w:t>
            </w:r>
          </w:p>
          <w:p w:rsidR="00853D7D" w:rsidRDefault="00853D7D">
            <w:r>
              <w:t>(GADD)</w:t>
            </w:r>
          </w:p>
        </w:tc>
        <w:tc>
          <w:tcPr>
            <w:tcW w:w="2288" w:type="dxa"/>
          </w:tcPr>
          <w:p w:rsidR="00853D7D" w:rsidRDefault="00853D7D">
            <w:r>
              <w:t>Family Study,</w:t>
            </w:r>
          </w:p>
          <w:p w:rsidR="00853D7D" w:rsidRDefault="00853D7D">
            <w:r>
              <w:t xml:space="preserve"> CAP, LTS, CTS</w:t>
            </w:r>
          </w:p>
          <w:p w:rsidR="00853D7D" w:rsidRDefault="00853D7D"/>
        </w:tc>
        <w:tc>
          <w:tcPr>
            <w:tcW w:w="1152" w:type="dxa"/>
          </w:tcPr>
          <w:p w:rsidR="00853D7D" w:rsidRDefault="00853D7D">
            <w:r>
              <w:t>0399.11</w:t>
            </w:r>
          </w:p>
          <w:p w:rsidR="00172414" w:rsidRDefault="00172414">
            <w:r>
              <w:t>01/05/17</w:t>
            </w:r>
          </w:p>
          <w:p w:rsidR="00172414" w:rsidRDefault="00172414">
            <w:r>
              <w:t>Ledbetter</w:t>
            </w:r>
          </w:p>
        </w:tc>
        <w:tc>
          <w:tcPr>
            <w:tcW w:w="1728" w:type="dxa"/>
          </w:tcPr>
          <w:p w:rsidR="00853D7D" w:rsidRDefault="00853D7D">
            <w:r>
              <w:t>DA0</w:t>
            </w:r>
            <w:r w:rsidR="0092180E">
              <w:t>35804</w:t>
            </w:r>
          </w:p>
          <w:p w:rsidR="00696589" w:rsidRPr="00D63145" w:rsidRDefault="00696589">
            <w:r w:rsidRPr="008344A0">
              <w:rPr>
                <w:color w:val="FF0000"/>
              </w:rPr>
              <w:t>DA011015</w:t>
            </w:r>
          </w:p>
        </w:tc>
        <w:tc>
          <w:tcPr>
            <w:tcW w:w="2398" w:type="dxa"/>
          </w:tcPr>
          <w:p w:rsidR="00853D7D" w:rsidRDefault="00853D7D">
            <w:r>
              <w:t>Michael Stallings</w:t>
            </w:r>
          </w:p>
        </w:tc>
        <w:tc>
          <w:tcPr>
            <w:tcW w:w="2160" w:type="dxa"/>
          </w:tcPr>
          <w:p w:rsidR="00853D7D" w:rsidRDefault="00172414">
            <w:r>
              <w:t>DA</w:t>
            </w:r>
            <w:r w:rsidR="00922964">
              <w:t>05131</w:t>
            </w:r>
          </w:p>
          <w:p w:rsidR="00853D7D" w:rsidRDefault="00853D7D">
            <w:r w:rsidRPr="008344A0">
              <w:rPr>
                <w:color w:val="FF0000"/>
              </w:rPr>
              <w:t>DA011015</w:t>
            </w:r>
          </w:p>
          <w:p w:rsidR="001A19CC" w:rsidRDefault="001A19CC">
            <w:r>
              <w:t>DA012845</w:t>
            </w:r>
          </w:p>
        </w:tc>
        <w:tc>
          <w:tcPr>
            <w:tcW w:w="2304" w:type="dxa"/>
          </w:tcPr>
          <w:p w:rsidR="00853D7D" w:rsidRDefault="00922964">
            <w:r>
              <w:t>1989</w:t>
            </w:r>
            <w:r w:rsidR="000577C4">
              <w:t>-1997</w:t>
            </w:r>
          </w:p>
          <w:p w:rsidR="00853D7D" w:rsidRDefault="008241E8">
            <w:r w:rsidRPr="00B45D2D">
              <w:rPr>
                <w:color w:val="FF0000"/>
              </w:rPr>
              <w:t>1997-2015</w:t>
            </w:r>
          </w:p>
          <w:p w:rsidR="001A19CC" w:rsidRDefault="000577C4">
            <w:r>
              <w:t>GADD 2001-2013</w:t>
            </w:r>
          </w:p>
        </w:tc>
        <w:tc>
          <w:tcPr>
            <w:tcW w:w="1296" w:type="dxa"/>
          </w:tcPr>
          <w:p w:rsidR="00853D7D" w:rsidRDefault="00853D7D"/>
        </w:tc>
      </w:tr>
      <w:tr w:rsidR="00172414" w:rsidTr="00D45289">
        <w:tc>
          <w:tcPr>
            <w:tcW w:w="1122" w:type="dxa"/>
          </w:tcPr>
          <w:p w:rsidR="00853D7D" w:rsidRDefault="00853D7D">
            <w:r>
              <w:t>CAP</w:t>
            </w:r>
          </w:p>
          <w:p w:rsidR="00853D7D" w:rsidRDefault="00853D7D">
            <w:r>
              <w:t>(</w:t>
            </w:r>
            <w:proofErr w:type="spellStart"/>
            <w:r>
              <w:t>CATSLife</w:t>
            </w:r>
            <w:proofErr w:type="spellEnd"/>
            <w:r>
              <w:t>)</w:t>
            </w:r>
          </w:p>
        </w:tc>
        <w:tc>
          <w:tcPr>
            <w:tcW w:w="2288" w:type="dxa"/>
          </w:tcPr>
          <w:p w:rsidR="001066D3" w:rsidRDefault="00853D7D">
            <w:r>
              <w:t>All data excluding CADD</w:t>
            </w:r>
            <w:r w:rsidR="001066D3">
              <w:t xml:space="preserve"> </w:t>
            </w:r>
          </w:p>
          <w:p w:rsidR="00853D7D" w:rsidRDefault="00B5732A" w:rsidP="00B5732A">
            <w:r>
              <w:t>(</w:t>
            </w:r>
            <w:r w:rsidR="00210639">
              <w:t xml:space="preserve"> but </w:t>
            </w:r>
            <w:r>
              <w:t>always</w:t>
            </w:r>
            <w:r w:rsidR="001066D3">
              <w:t xml:space="preserve"> cite for sample acquisition)</w:t>
            </w:r>
          </w:p>
        </w:tc>
        <w:tc>
          <w:tcPr>
            <w:tcW w:w="1152" w:type="dxa"/>
          </w:tcPr>
          <w:p w:rsidR="00853D7D" w:rsidRDefault="00853D7D">
            <w:r>
              <w:t>14-0421</w:t>
            </w:r>
          </w:p>
          <w:p w:rsidR="00172414" w:rsidRDefault="00172414">
            <w:r>
              <w:t>07/07/16</w:t>
            </w:r>
          </w:p>
          <w:p w:rsidR="00172414" w:rsidRDefault="00172414">
            <w:r>
              <w:t>Ledbetter</w:t>
            </w:r>
          </w:p>
        </w:tc>
        <w:tc>
          <w:tcPr>
            <w:tcW w:w="1728" w:type="dxa"/>
          </w:tcPr>
          <w:p w:rsidR="00853D7D" w:rsidRDefault="00853D7D">
            <w:r>
              <w:t>AG046938</w:t>
            </w:r>
          </w:p>
          <w:p w:rsidR="00696589" w:rsidRDefault="00696589">
            <w:r w:rsidRPr="008344A0">
              <w:rPr>
                <w:color w:val="FF0000"/>
              </w:rPr>
              <w:t>HD010333</w:t>
            </w:r>
          </w:p>
        </w:tc>
        <w:tc>
          <w:tcPr>
            <w:tcW w:w="2398" w:type="dxa"/>
          </w:tcPr>
          <w:p w:rsidR="00853D7D" w:rsidRDefault="00853D7D">
            <w:r>
              <w:t>Sally Wadsworth</w:t>
            </w:r>
          </w:p>
          <w:p w:rsidR="00853D7D" w:rsidRDefault="00853D7D">
            <w:r>
              <w:t>(Chandra Reynolds)</w:t>
            </w:r>
          </w:p>
        </w:tc>
        <w:tc>
          <w:tcPr>
            <w:tcW w:w="2160" w:type="dxa"/>
          </w:tcPr>
          <w:p w:rsidR="00853D7D" w:rsidRDefault="00715F68">
            <w:r w:rsidRPr="008344A0">
              <w:rPr>
                <w:color w:val="FF0000"/>
              </w:rPr>
              <w:t>HD010333</w:t>
            </w:r>
          </w:p>
          <w:p w:rsidR="00715F68" w:rsidRDefault="00A91358">
            <w:r>
              <w:t>HD18426</w:t>
            </w:r>
          </w:p>
          <w:p w:rsidR="00715F68" w:rsidRDefault="00A91358">
            <w:r>
              <w:t>MH43899</w:t>
            </w:r>
          </w:p>
          <w:p w:rsidR="00922964" w:rsidRDefault="00922964">
            <w:r>
              <w:t>WT Grant Foundation</w:t>
            </w:r>
          </w:p>
          <w:p w:rsidR="00715F68" w:rsidRDefault="00304763">
            <w:r>
              <w:t>HD036773</w:t>
            </w:r>
          </w:p>
        </w:tc>
        <w:tc>
          <w:tcPr>
            <w:tcW w:w="2304" w:type="dxa"/>
          </w:tcPr>
          <w:p w:rsidR="00853D7D" w:rsidRPr="00A91358" w:rsidRDefault="00715F68">
            <w:pPr>
              <w:rPr>
                <w:i/>
              </w:rPr>
            </w:pPr>
            <w:r w:rsidRPr="00A91358">
              <w:rPr>
                <w:i/>
              </w:rPr>
              <w:t>All</w:t>
            </w:r>
          </w:p>
          <w:p w:rsidR="00715F68" w:rsidRDefault="00715F68">
            <w:r>
              <w:t>7- &amp; 8-year</w:t>
            </w:r>
          </w:p>
          <w:p w:rsidR="00715F68" w:rsidRDefault="00715F68">
            <w:r>
              <w:t>9-</w:t>
            </w:r>
            <w:r w:rsidR="00D61B5C">
              <w:t xml:space="preserve"> to </w:t>
            </w:r>
            <w:r>
              <w:t>12</w:t>
            </w:r>
            <w:r w:rsidR="00D61B5C">
              <w:t>-year</w:t>
            </w:r>
          </w:p>
          <w:p w:rsidR="00922964" w:rsidRDefault="00922964">
            <w:r>
              <w:t>18-21 ACE &amp; cog</w:t>
            </w:r>
          </w:p>
          <w:p w:rsidR="00715F68" w:rsidRDefault="00715F68">
            <w:r>
              <w:t>NNSD (early adult)</w:t>
            </w:r>
          </w:p>
        </w:tc>
        <w:tc>
          <w:tcPr>
            <w:tcW w:w="1296" w:type="dxa"/>
          </w:tcPr>
          <w:p w:rsidR="00853D7D" w:rsidRDefault="00853D7D"/>
        </w:tc>
      </w:tr>
      <w:tr w:rsidR="00172414" w:rsidTr="00D45289">
        <w:tc>
          <w:tcPr>
            <w:tcW w:w="1122" w:type="dxa"/>
          </w:tcPr>
          <w:p w:rsidR="00853D7D" w:rsidRDefault="00853D7D">
            <w:r>
              <w:t>LTS</w:t>
            </w:r>
          </w:p>
          <w:p w:rsidR="00853D7D" w:rsidRDefault="00853D7D">
            <w:r>
              <w:t>(</w:t>
            </w:r>
            <w:proofErr w:type="spellStart"/>
            <w:r>
              <w:t>CATSLife</w:t>
            </w:r>
            <w:proofErr w:type="spellEnd"/>
            <w:r>
              <w:t>)</w:t>
            </w:r>
          </w:p>
        </w:tc>
        <w:tc>
          <w:tcPr>
            <w:tcW w:w="2288" w:type="dxa"/>
          </w:tcPr>
          <w:p w:rsidR="00853D7D" w:rsidRDefault="00715F68">
            <w:r>
              <w:t>All data excluding CADD</w:t>
            </w:r>
            <w:r w:rsidR="001066D3">
              <w:t xml:space="preserve">, EF , fMRI </w:t>
            </w:r>
            <w:r w:rsidR="00304763">
              <w:t>&amp; Sleep</w:t>
            </w:r>
          </w:p>
          <w:p w:rsidR="001066D3" w:rsidRDefault="00B5732A">
            <w:r>
              <w:t>(</w:t>
            </w:r>
            <w:r w:rsidR="00210639">
              <w:t xml:space="preserve">but </w:t>
            </w:r>
            <w:r>
              <w:t xml:space="preserve">always </w:t>
            </w:r>
            <w:r w:rsidR="001066D3">
              <w:t>cite for sample acquisition)</w:t>
            </w:r>
          </w:p>
          <w:p w:rsidR="00715F68" w:rsidRDefault="00715F68"/>
        </w:tc>
        <w:tc>
          <w:tcPr>
            <w:tcW w:w="1152" w:type="dxa"/>
          </w:tcPr>
          <w:p w:rsidR="00853D7D" w:rsidRDefault="00853D7D">
            <w:r>
              <w:t>14-0421</w:t>
            </w:r>
          </w:p>
          <w:p w:rsidR="00172414" w:rsidRDefault="00172414">
            <w:r>
              <w:t>07/07/16</w:t>
            </w:r>
          </w:p>
          <w:p w:rsidR="00172414" w:rsidRDefault="00172414">
            <w:r>
              <w:t>Ledbetter</w:t>
            </w:r>
          </w:p>
        </w:tc>
        <w:tc>
          <w:tcPr>
            <w:tcW w:w="1728" w:type="dxa"/>
          </w:tcPr>
          <w:p w:rsidR="00853D7D" w:rsidRDefault="00853D7D">
            <w:r>
              <w:t>AG046938</w:t>
            </w:r>
          </w:p>
          <w:p w:rsidR="00696589" w:rsidRDefault="00696589"/>
          <w:p w:rsidR="00696589" w:rsidRDefault="00696589"/>
          <w:p w:rsidR="00696589" w:rsidRDefault="00696589"/>
          <w:p w:rsidR="00696589" w:rsidRDefault="00696589"/>
          <w:p w:rsidR="00696589" w:rsidRDefault="00696589"/>
          <w:p w:rsidR="00696589" w:rsidRPr="00B5732A" w:rsidRDefault="00696589" w:rsidP="00696589">
            <w:pPr>
              <w:rPr>
                <w:color w:val="FF0000"/>
              </w:rPr>
            </w:pPr>
            <w:r w:rsidRPr="00B5732A">
              <w:rPr>
                <w:color w:val="FF0000"/>
              </w:rPr>
              <w:t>MH48980</w:t>
            </w:r>
          </w:p>
          <w:p w:rsidR="00696589" w:rsidRPr="00B5732A" w:rsidRDefault="00696589" w:rsidP="00696589">
            <w:pPr>
              <w:rPr>
                <w:color w:val="FF0000"/>
              </w:rPr>
            </w:pPr>
            <w:r w:rsidRPr="00B5732A">
              <w:rPr>
                <w:color w:val="FF0000"/>
              </w:rPr>
              <w:t>HD050346</w:t>
            </w:r>
          </w:p>
          <w:p w:rsidR="00696589" w:rsidRDefault="00696589" w:rsidP="00D45289">
            <w:proofErr w:type="spellStart"/>
            <w:r>
              <w:rPr>
                <w:color w:val="FF0000"/>
              </w:rPr>
              <w:t>Fetzer</w:t>
            </w:r>
            <w:proofErr w:type="spellEnd"/>
            <w:r>
              <w:rPr>
                <w:color w:val="FF0000"/>
              </w:rPr>
              <w:t xml:space="preserve"> Found.</w:t>
            </w:r>
          </w:p>
        </w:tc>
        <w:tc>
          <w:tcPr>
            <w:tcW w:w="2398" w:type="dxa"/>
          </w:tcPr>
          <w:p w:rsidR="00853D7D" w:rsidRDefault="00853D7D" w:rsidP="00D63145">
            <w:r>
              <w:t>Sally Wadsworth</w:t>
            </w:r>
          </w:p>
          <w:p w:rsidR="00853D7D" w:rsidRDefault="00853D7D" w:rsidP="00D63145">
            <w:r>
              <w:t>(Chandra Reynolds)</w:t>
            </w:r>
          </w:p>
        </w:tc>
        <w:tc>
          <w:tcPr>
            <w:tcW w:w="2160" w:type="dxa"/>
          </w:tcPr>
          <w:p w:rsidR="00172414" w:rsidRDefault="00172414"/>
          <w:p w:rsidR="00172414" w:rsidRDefault="00172414"/>
          <w:p w:rsidR="00172414" w:rsidRDefault="00172414"/>
          <w:p w:rsidR="00853D7D" w:rsidRDefault="00A91358">
            <w:r>
              <w:t>HD19802</w:t>
            </w:r>
          </w:p>
          <w:p w:rsidR="008241E8" w:rsidRDefault="008241E8"/>
          <w:p w:rsidR="00715F68" w:rsidRDefault="00A91358">
            <w:r>
              <w:t>MacAr</w:t>
            </w:r>
            <w:r w:rsidR="00715F68">
              <w:t>thur</w:t>
            </w:r>
          </w:p>
          <w:p w:rsidR="00715F68" w:rsidRPr="00B5732A" w:rsidRDefault="00A91358">
            <w:pPr>
              <w:rPr>
                <w:color w:val="FF0000"/>
              </w:rPr>
            </w:pPr>
            <w:r w:rsidRPr="00B5732A">
              <w:rPr>
                <w:color w:val="FF0000"/>
              </w:rPr>
              <w:t>MH48980</w:t>
            </w:r>
          </w:p>
          <w:p w:rsidR="00715F68" w:rsidRPr="00B5732A" w:rsidRDefault="00715F68">
            <w:pPr>
              <w:rPr>
                <w:color w:val="FF0000"/>
              </w:rPr>
            </w:pPr>
            <w:r w:rsidRPr="00B5732A">
              <w:rPr>
                <w:color w:val="FF0000"/>
              </w:rPr>
              <w:t>HD050346</w:t>
            </w:r>
          </w:p>
          <w:p w:rsidR="00A91358" w:rsidRDefault="00A91358">
            <w:proofErr w:type="spellStart"/>
            <w:r w:rsidRPr="00B5732A">
              <w:rPr>
                <w:color w:val="FF0000"/>
              </w:rPr>
              <w:t>Fetzer</w:t>
            </w:r>
            <w:proofErr w:type="spellEnd"/>
            <w:r w:rsidRPr="00B5732A">
              <w:rPr>
                <w:color w:val="FF0000"/>
              </w:rPr>
              <w:t xml:space="preserve"> Foundation</w:t>
            </w:r>
          </w:p>
        </w:tc>
        <w:tc>
          <w:tcPr>
            <w:tcW w:w="2304" w:type="dxa"/>
          </w:tcPr>
          <w:p w:rsidR="00172414" w:rsidRPr="00172414" w:rsidRDefault="00172414">
            <w:pPr>
              <w:rPr>
                <w:i/>
              </w:rPr>
            </w:pPr>
            <w:r w:rsidRPr="00172414">
              <w:rPr>
                <w:i/>
              </w:rPr>
              <w:t xml:space="preserve">Same as CAP except no </w:t>
            </w:r>
            <w:r w:rsidR="008344A0">
              <w:rPr>
                <w:i/>
              </w:rPr>
              <w:t xml:space="preserve">ACE or </w:t>
            </w:r>
            <w:r w:rsidRPr="00172414">
              <w:rPr>
                <w:i/>
              </w:rPr>
              <w:t>NNSD and following additions:</w:t>
            </w:r>
          </w:p>
          <w:p w:rsidR="00853D7D" w:rsidRDefault="00304763">
            <w:r>
              <w:t xml:space="preserve">(TIP) </w:t>
            </w:r>
            <w:r w:rsidR="00715F68">
              <w:t xml:space="preserve">Infant data + </w:t>
            </w:r>
          </w:p>
          <w:p w:rsidR="00922964" w:rsidRDefault="00922964">
            <w:r>
              <w:t>p</w:t>
            </w:r>
            <w:r w:rsidR="00715F68">
              <w:t>arent cog</w:t>
            </w:r>
          </w:p>
          <w:p w:rsidR="00715F68" w:rsidRDefault="008241E8">
            <w:r>
              <w:t xml:space="preserve">14 </w:t>
            </w:r>
            <w:proofErr w:type="spellStart"/>
            <w:r>
              <w:t>mos</w:t>
            </w:r>
            <w:proofErr w:type="spellEnd"/>
            <w:r>
              <w:t>-selec</w:t>
            </w:r>
            <w:r w:rsidR="00715F68">
              <w:t>t</w:t>
            </w:r>
            <w:r>
              <w:t>e</w:t>
            </w:r>
            <w:r w:rsidR="00715F68">
              <w:t>d 7</w:t>
            </w:r>
            <w:r w:rsidR="00922964">
              <w:t>-year</w:t>
            </w:r>
          </w:p>
          <w:p w:rsidR="00A91358" w:rsidRPr="00B5732A" w:rsidRDefault="00B5732A">
            <w:pPr>
              <w:rPr>
                <w:color w:val="FF0000"/>
              </w:rPr>
            </w:pPr>
            <w:r w:rsidRPr="00B5732A">
              <w:rPr>
                <w:color w:val="FF0000"/>
              </w:rPr>
              <w:t>Videotape data</w:t>
            </w:r>
          </w:p>
          <w:p w:rsidR="00B5732A" w:rsidRPr="00DF3647" w:rsidRDefault="00B5732A">
            <w:pPr>
              <w:rPr>
                <w:color w:val="FF0000"/>
              </w:rPr>
            </w:pPr>
            <w:r>
              <w:rPr>
                <w:color w:val="FF0000"/>
              </w:rPr>
              <w:t>(c</w:t>
            </w:r>
            <w:r w:rsidRPr="00B5732A">
              <w:rPr>
                <w:color w:val="FF0000"/>
              </w:rPr>
              <w:t xml:space="preserve">onsult </w:t>
            </w:r>
            <w:r w:rsidRPr="00DF3647">
              <w:rPr>
                <w:b/>
                <w:color w:val="FF0000"/>
              </w:rPr>
              <w:t>Soo Rhee</w:t>
            </w:r>
            <w:r>
              <w:rPr>
                <w:color w:val="FF0000"/>
              </w:rPr>
              <w:t>)</w:t>
            </w:r>
          </w:p>
        </w:tc>
        <w:tc>
          <w:tcPr>
            <w:tcW w:w="1296" w:type="dxa"/>
          </w:tcPr>
          <w:p w:rsidR="00853D7D" w:rsidRDefault="00853D7D"/>
        </w:tc>
      </w:tr>
      <w:tr w:rsidR="00172414" w:rsidTr="00D45289">
        <w:tc>
          <w:tcPr>
            <w:tcW w:w="1122" w:type="dxa"/>
          </w:tcPr>
          <w:p w:rsidR="00853D7D" w:rsidRDefault="00853D7D">
            <w:r>
              <w:t>LTS EF</w:t>
            </w:r>
          </w:p>
          <w:p w:rsidR="00853D7D" w:rsidRDefault="00853D7D"/>
        </w:tc>
        <w:tc>
          <w:tcPr>
            <w:tcW w:w="2288" w:type="dxa"/>
          </w:tcPr>
          <w:p w:rsidR="00853D7D" w:rsidRDefault="00715F68">
            <w:r>
              <w:t>EF 17,</w:t>
            </w:r>
            <w:r w:rsidR="00172414">
              <w:t xml:space="preserve"> </w:t>
            </w:r>
            <w:r>
              <w:t>22, 28</w:t>
            </w:r>
            <w:r w:rsidR="00172414">
              <w:t xml:space="preserve"> (+fMRI)</w:t>
            </w:r>
          </w:p>
          <w:p w:rsidR="00715F68" w:rsidRDefault="00715F68"/>
        </w:tc>
        <w:tc>
          <w:tcPr>
            <w:tcW w:w="1152" w:type="dxa"/>
          </w:tcPr>
          <w:p w:rsidR="00853D7D" w:rsidRDefault="00853D7D">
            <w:r>
              <w:t>11-0614</w:t>
            </w:r>
          </w:p>
          <w:p w:rsidR="00172414" w:rsidRDefault="00172414">
            <w:r>
              <w:t>9/30/16</w:t>
            </w:r>
          </w:p>
          <w:p w:rsidR="00172414" w:rsidRDefault="00172414">
            <w:r>
              <w:t>Ledbetter</w:t>
            </w:r>
          </w:p>
        </w:tc>
        <w:tc>
          <w:tcPr>
            <w:tcW w:w="1728" w:type="dxa"/>
          </w:tcPr>
          <w:p w:rsidR="00853D7D" w:rsidRDefault="00853D7D">
            <w:r>
              <w:t>MH0632</w:t>
            </w:r>
            <w:r w:rsidR="00304763">
              <w:t>0</w:t>
            </w:r>
            <w:r>
              <w:t>7</w:t>
            </w:r>
          </w:p>
        </w:tc>
        <w:tc>
          <w:tcPr>
            <w:tcW w:w="2398" w:type="dxa"/>
          </w:tcPr>
          <w:p w:rsidR="00853D7D" w:rsidRDefault="00853D7D">
            <w:r>
              <w:t>Naomi Friedman</w:t>
            </w:r>
          </w:p>
        </w:tc>
        <w:tc>
          <w:tcPr>
            <w:tcW w:w="2160" w:type="dxa"/>
          </w:tcPr>
          <w:p w:rsidR="00853D7D" w:rsidRDefault="00853D7D"/>
        </w:tc>
        <w:tc>
          <w:tcPr>
            <w:tcW w:w="2304" w:type="dxa"/>
          </w:tcPr>
          <w:p w:rsidR="00853D7D" w:rsidRDefault="00853D7D"/>
        </w:tc>
        <w:tc>
          <w:tcPr>
            <w:tcW w:w="1296" w:type="dxa"/>
          </w:tcPr>
          <w:p w:rsidR="00853D7D" w:rsidRDefault="00853D7D"/>
        </w:tc>
      </w:tr>
      <w:tr w:rsidR="00172414" w:rsidTr="00D45289">
        <w:tc>
          <w:tcPr>
            <w:tcW w:w="1122" w:type="dxa"/>
          </w:tcPr>
          <w:p w:rsidR="00853D7D" w:rsidRDefault="00853D7D">
            <w:r>
              <w:t>CTS EF</w:t>
            </w:r>
          </w:p>
        </w:tc>
        <w:tc>
          <w:tcPr>
            <w:tcW w:w="2288" w:type="dxa"/>
          </w:tcPr>
          <w:p w:rsidR="00853D7D" w:rsidRDefault="00715F68">
            <w:r>
              <w:t>EF &amp; WASI</w:t>
            </w:r>
          </w:p>
        </w:tc>
        <w:tc>
          <w:tcPr>
            <w:tcW w:w="1152" w:type="dxa"/>
          </w:tcPr>
          <w:p w:rsidR="00853D7D" w:rsidRDefault="00853D7D">
            <w:r>
              <w:t>11-0614</w:t>
            </w:r>
          </w:p>
          <w:p w:rsidR="00172414" w:rsidRDefault="00172414" w:rsidP="00172414">
            <w:r>
              <w:t>9/30/16</w:t>
            </w:r>
          </w:p>
          <w:p w:rsidR="00172414" w:rsidRDefault="00172414" w:rsidP="00172414">
            <w:r>
              <w:t>Ledbetter</w:t>
            </w:r>
          </w:p>
        </w:tc>
        <w:tc>
          <w:tcPr>
            <w:tcW w:w="1728" w:type="dxa"/>
          </w:tcPr>
          <w:p w:rsidR="00853D7D" w:rsidRDefault="00853D7D">
            <w:r>
              <w:t>MH0632</w:t>
            </w:r>
            <w:r w:rsidR="00304763">
              <w:t>0</w:t>
            </w:r>
            <w:r>
              <w:t>7</w:t>
            </w:r>
          </w:p>
        </w:tc>
        <w:tc>
          <w:tcPr>
            <w:tcW w:w="2398" w:type="dxa"/>
          </w:tcPr>
          <w:p w:rsidR="00853D7D" w:rsidRDefault="00853D7D">
            <w:r>
              <w:t>IRB</w:t>
            </w:r>
            <w:r w:rsidR="00715F68">
              <w:t>: N</w:t>
            </w:r>
            <w:r>
              <w:t>a</w:t>
            </w:r>
            <w:r w:rsidR="00715F68">
              <w:t>o</w:t>
            </w:r>
            <w:r>
              <w:t>mi Friedman</w:t>
            </w:r>
          </w:p>
          <w:p w:rsidR="00853D7D" w:rsidRDefault="00853D7D">
            <w:r>
              <w:t>Data: Susan Young</w:t>
            </w:r>
          </w:p>
        </w:tc>
        <w:tc>
          <w:tcPr>
            <w:tcW w:w="2160" w:type="dxa"/>
          </w:tcPr>
          <w:p w:rsidR="00853D7D" w:rsidRDefault="00715F68">
            <w:r>
              <w:t>MH0</w:t>
            </w:r>
            <w:r w:rsidR="001A19CC">
              <w:t>0</w:t>
            </w:r>
            <w:r>
              <w:t>1865</w:t>
            </w:r>
          </w:p>
        </w:tc>
        <w:tc>
          <w:tcPr>
            <w:tcW w:w="2304" w:type="dxa"/>
          </w:tcPr>
          <w:p w:rsidR="00853D7D" w:rsidRDefault="00715F68">
            <w:r>
              <w:t>Susan’s KO</w:t>
            </w:r>
          </w:p>
        </w:tc>
        <w:tc>
          <w:tcPr>
            <w:tcW w:w="1296" w:type="dxa"/>
          </w:tcPr>
          <w:p w:rsidR="00853D7D" w:rsidRDefault="00853D7D"/>
        </w:tc>
      </w:tr>
      <w:tr w:rsidR="00304763" w:rsidTr="00D45289">
        <w:tc>
          <w:tcPr>
            <w:tcW w:w="1122" w:type="dxa"/>
          </w:tcPr>
          <w:p w:rsidR="00304763" w:rsidRDefault="00304763" w:rsidP="00304763">
            <w:r>
              <w:t>LTS/CTS Sleep</w:t>
            </w:r>
          </w:p>
        </w:tc>
        <w:tc>
          <w:tcPr>
            <w:tcW w:w="2288" w:type="dxa"/>
          </w:tcPr>
          <w:p w:rsidR="00304763" w:rsidRDefault="00304763" w:rsidP="00304763">
            <w:r>
              <w:t>On-line sleep study</w:t>
            </w:r>
          </w:p>
        </w:tc>
        <w:tc>
          <w:tcPr>
            <w:tcW w:w="1152" w:type="dxa"/>
          </w:tcPr>
          <w:p w:rsidR="00304763" w:rsidRDefault="00304763" w:rsidP="00304763">
            <w:r>
              <w:t>11-0614</w:t>
            </w:r>
          </w:p>
          <w:p w:rsidR="00304763" w:rsidRDefault="00304763" w:rsidP="00304763">
            <w:r>
              <w:t>9/30/16</w:t>
            </w:r>
          </w:p>
          <w:p w:rsidR="00304763" w:rsidRDefault="00304763" w:rsidP="00304763">
            <w:r>
              <w:t>Ledbetter</w:t>
            </w:r>
          </w:p>
        </w:tc>
        <w:tc>
          <w:tcPr>
            <w:tcW w:w="1728" w:type="dxa"/>
          </w:tcPr>
          <w:p w:rsidR="00304763" w:rsidRDefault="00304763" w:rsidP="00304763">
            <w:r>
              <w:t>MH063207</w:t>
            </w:r>
          </w:p>
        </w:tc>
        <w:tc>
          <w:tcPr>
            <w:tcW w:w="2398" w:type="dxa"/>
          </w:tcPr>
          <w:p w:rsidR="00304763" w:rsidRDefault="00304763" w:rsidP="00304763">
            <w:r>
              <w:t>Naomi Friedman</w:t>
            </w:r>
          </w:p>
        </w:tc>
        <w:tc>
          <w:tcPr>
            <w:tcW w:w="2160" w:type="dxa"/>
          </w:tcPr>
          <w:p w:rsidR="00304763" w:rsidRDefault="00304763" w:rsidP="00304763">
            <w:r>
              <w:t>Henry Ford</w:t>
            </w:r>
          </w:p>
        </w:tc>
        <w:tc>
          <w:tcPr>
            <w:tcW w:w="2304" w:type="dxa"/>
          </w:tcPr>
          <w:p w:rsidR="00304763" w:rsidRDefault="00304763" w:rsidP="00304763"/>
        </w:tc>
        <w:tc>
          <w:tcPr>
            <w:tcW w:w="1296" w:type="dxa"/>
          </w:tcPr>
          <w:p w:rsidR="00304763" w:rsidRDefault="00304763" w:rsidP="00304763"/>
        </w:tc>
      </w:tr>
    </w:tbl>
    <w:p w:rsidR="00696589" w:rsidRDefault="008344A0">
      <w:r>
        <w:t xml:space="preserve">*The alternate grants </w:t>
      </w:r>
      <w:r w:rsidR="00172414">
        <w:t xml:space="preserve">in </w:t>
      </w:r>
      <w:r w:rsidR="00B5732A">
        <w:rPr>
          <w:color w:val="FF0000"/>
        </w:rPr>
        <w:t xml:space="preserve">red </w:t>
      </w:r>
      <w:r w:rsidRPr="008344A0">
        <w:t>require special consideration</w:t>
      </w:r>
      <w:r w:rsidR="00B45D2D">
        <w:t xml:space="preserve">, if you use the </w:t>
      </w:r>
      <w:r w:rsidR="00B45D2D" w:rsidRPr="005351AA">
        <w:rPr>
          <w:color w:val="FF0000"/>
        </w:rPr>
        <w:t>specific data set</w:t>
      </w:r>
      <w:r w:rsidR="00B45D2D">
        <w:t xml:space="preserve"> associated with that funding source</w:t>
      </w:r>
      <w:r w:rsidRPr="00B45D2D">
        <w:t>.</w:t>
      </w:r>
      <w:r>
        <w:rPr>
          <w:color w:val="FF0000"/>
        </w:rPr>
        <w:t xml:space="preserve"> </w:t>
      </w:r>
      <w:r>
        <w:t>Soo Rhee requires that you always cite the videotape grants when using that data set. John Hewitt requires that for at least 5 years past grant end you cite the Core CADD grant</w:t>
      </w:r>
      <w:r w:rsidR="00694D76">
        <w:t xml:space="preserve"> (e.g. through 2020; may be extended)</w:t>
      </w:r>
      <w:r>
        <w:t xml:space="preserve">.  </w:t>
      </w:r>
      <w:proofErr w:type="spellStart"/>
      <w:r>
        <w:t>CATSLife</w:t>
      </w:r>
      <w:proofErr w:type="spellEnd"/>
      <w:r>
        <w:t xml:space="preserve"> researchers request that you cite HD010333 when using data collected while that grant was active.</w:t>
      </w:r>
    </w:p>
    <w:p w:rsidR="00D61B5C" w:rsidRDefault="005C3F9C">
      <w:r>
        <w:t>Note: There were other seed grants from CU or foundation sources for many of these projects. Additionally, the Sibling Study on the CAP was funded by an NSF grant. Refer to the various CAP books and the LTS book if information on these specific sources is desired.</w:t>
      </w:r>
    </w:p>
    <w:tbl>
      <w:tblPr>
        <w:tblStyle w:val="TableGrid"/>
        <w:tblW w:w="14226" w:type="dxa"/>
        <w:tblLook w:val="04A0" w:firstRow="1" w:lastRow="0" w:firstColumn="1" w:lastColumn="0" w:noHBand="0" w:noVBand="1"/>
      </w:tblPr>
      <w:tblGrid>
        <w:gridCol w:w="1122"/>
        <w:gridCol w:w="8352"/>
        <w:gridCol w:w="4752"/>
      </w:tblGrid>
      <w:tr w:rsidR="00FD06B5" w:rsidRPr="000577C4" w:rsidTr="00FD06B5">
        <w:tc>
          <w:tcPr>
            <w:tcW w:w="1122" w:type="dxa"/>
          </w:tcPr>
          <w:p w:rsidR="00FD06B5" w:rsidRPr="00172414" w:rsidRDefault="00FD06B5" w:rsidP="00811C88">
            <w:pPr>
              <w:rPr>
                <w:b/>
              </w:rPr>
            </w:pPr>
            <w:r w:rsidRPr="00172414">
              <w:rPr>
                <w:b/>
              </w:rPr>
              <w:lastRenderedPageBreak/>
              <w:t>Data Set</w:t>
            </w:r>
          </w:p>
        </w:tc>
        <w:tc>
          <w:tcPr>
            <w:tcW w:w="8352" w:type="dxa"/>
          </w:tcPr>
          <w:p w:rsidR="00FD06B5" w:rsidRPr="000577C4" w:rsidRDefault="00FD06B5" w:rsidP="008C15DF">
            <w:pPr>
              <w:rPr>
                <w:i/>
                <w:sz w:val="18"/>
                <w:szCs w:val="18"/>
              </w:rPr>
            </w:pPr>
            <w:r w:rsidRPr="00172414">
              <w:rPr>
                <w:b/>
              </w:rPr>
              <w:t>Primary References</w:t>
            </w:r>
            <w:r>
              <w:rPr>
                <w:b/>
              </w:rPr>
              <w:t xml:space="preserve"> (should cite when using these data sets for sample acquisition and/or data collection descriptions)</w:t>
            </w:r>
          </w:p>
        </w:tc>
        <w:tc>
          <w:tcPr>
            <w:tcW w:w="4752" w:type="dxa"/>
            <w:vMerge w:val="restart"/>
          </w:tcPr>
          <w:p w:rsidR="00FD06B5" w:rsidRDefault="00FD06B5" w:rsidP="008C15DF">
            <w:pPr>
              <w:rPr>
                <w:b/>
              </w:rPr>
            </w:pPr>
          </w:p>
          <w:p w:rsidR="00FD06B5" w:rsidRDefault="00FD06B5" w:rsidP="008C15DF">
            <w:pPr>
              <w:rPr>
                <w:b/>
              </w:rPr>
            </w:pPr>
          </w:p>
          <w:p w:rsidR="00FD06B5" w:rsidRDefault="00FD06B5" w:rsidP="008C15DF">
            <w:pPr>
              <w:rPr>
                <w:b/>
              </w:rPr>
            </w:pPr>
          </w:p>
          <w:p w:rsidR="00FD06B5" w:rsidRDefault="00FD06B5" w:rsidP="008C15DF">
            <w:pPr>
              <w:rPr>
                <w:b/>
              </w:rPr>
            </w:pPr>
          </w:p>
          <w:p w:rsidR="00FD06B5" w:rsidRDefault="00FD06B5" w:rsidP="008C15DF">
            <w:pPr>
              <w:rPr>
                <w:b/>
              </w:rPr>
            </w:pPr>
          </w:p>
          <w:p w:rsidR="00FD06B5" w:rsidRDefault="00FD06B5" w:rsidP="008C15DF">
            <w:pPr>
              <w:rPr>
                <w:b/>
              </w:rPr>
            </w:pPr>
          </w:p>
          <w:p w:rsidR="00FD06B5" w:rsidRDefault="00FD06B5" w:rsidP="008C15DF">
            <w:pPr>
              <w:rPr>
                <w:b/>
              </w:rPr>
            </w:pPr>
            <w:r>
              <w:rPr>
                <w:b/>
              </w:rPr>
              <w:t xml:space="preserve">An example of a set of grant citations in the acknowledgement </w:t>
            </w:r>
            <w:r w:rsidRPr="00FD06B5">
              <w:rPr>
                <w:b/>
                <w:i/>
              </w:rPr>
              <w:t xml:space="preserve">(pretending the </w:t>
            </w:r>
            <w:r w:rsidR="00B45D2D">
              <w:rPr>
                <w:b/>
                <w:i/>
              </w:rPr>
              <w:t xml:space="preserve">date is 2016 rather than </w:t>
            </w:r>
            <w:r w:rsidRPr="00FD06B5">
              <w:rPr>
                <w:b/>
                <w:i/>
              </w:rPr>
              <w:t>2014</w:t>
            </w:r>
            <w:r w:rsidR="00101BF0">
              <w:rPr>
                <w:b/>
                <w:i/>
              </w:rPr>
              <w:t>; refer to original paper for content</w:t>
            </w:r>
            <w:r>
              <w:rPr>
                <w:b/>
              </w:rPr>
              <w:t>):</w:t>
            </w:r>
          </w:p>
          <w:p w:rsidR="00FD06B5" w:rsidRDefault="00FD06B5" w:rsidP="00FD06B5"/>
          <w:p w:rsidR="00FD06B5" w:rsidRDefault="00FD06B5" w:rsidP="00FD06B5">
            <w:r>
              <w:t xml:space="preserve">Johnson et al (2016) Genetic and Environmental Influences on Rumination and its Covariation with Depression, </w:t>
            </w:r>
            <w:r w:rsidRPr="00101BF0">
              <w:rPr>
                <w:i/>
              </w:rPr>
              <w:t>Cognition and Emotion</w:t>
            </w:r>
            <w:r w:rsidR="00101BF0">
              <w:t>, xx-xx</w:t>
            </w:r>
          </w:p>
          <w:p w:rsidR="00FD06B5" w:rsidRDefault="00FD06B5" w:rsidP="00FD06B5"/>
          <w:p w:rsidR="00FD06B5" w:rsidRDefault="00FD06B5" w:rsidP="00FD06B5">
            <w:r>
              <w:t xml:space="preserve">should cite: </w:t>
            </w:r>
          </w:p>
          <w:p w:rsidR="00FD06B5" w:rsidRDefault="00FD06B5" w:rsidP="00FD06B5">
            <w:r>
              <w:t xml:space="preserve">DA011015 </w:t>
            </w:r>
            <w:r w:rsidRPr="00B45D2D">
              <w:rPr>
                <w:i/>
              </w:rPr>
              <w:t>(CADD</w:t>
            </w:r>
            <w:r w:rsidR="00B45D2D">
              <w:rPr>
                <w:i/>
              </w:rPr>
              <w:t xml:space="preserve">; e.g. depression </w:t>
            </w:r>
            <w:r w:rsidRPr="00B45D2D">
              <w:rPr>
                <w:i/>
              </w:rPr>
              <w:t>data collection)</w:t>
            </w:r>
          </w:p>
          <w:p w:rsidR="00FD06B5" w:rsidRDefault="00FD06B5" w:rsidP="00FD06B5">
            <w:r>
              <w:t xml:space="preserve"> DA0</w:t>
            </w:r>
            <w:r w:rsidR="0092180E">
              <w:t>35804</w:t>
            </w:r>
            <w:r>
              <w:t xml:space="preserve"> </w:t>
            </w:r>
            <w:r w:rsidRPr="00B45D2D">
              <w:rPr>
                <w:i/>
              </w:rPr>
              <w:t>(current holder of</w:t>
            </w:r>
            <w:r w:rsidR="006D1F10">
              <w:rPr>
                <w:i/>
              </w:rPr>
              <w:t xml:space="preserve"> CADD data sets</w:t>
            </w:r>
            <w:r w:rsidRPr="00B45D2D">
              <w:rPr>
                <w:i/>
              </w:rPr>
              <w:t>)</w:t>
            </w:r>
          </w:p>
          <w:p w:rsidR="00FD06B5" w:rsidRDefault="00FD06B5" w:rsidP="00FD06B5">
            <w:r>
              <w:t xml:space="preserve">MH063207 </w:t>
            </w:r>
            <w:r w:rsidRPr="00B45D2D">
              <w:rPr>
                <w:i/>
              </w:rPr>
              <w:t xml:space="preserve">(EF, </w:t>
            </w:r>
            <w:proofErr w:type="spellStart"/>
            <w:r w:rsidRPr="00B45D2D">
              <w:rPr>
                <w:i/>
              </w:rPr>
              <w:t>e</w:t>
            </w:r>
            <w:r w:rsidR="00101BF0" w:rsidRPr="00B45D2D">
              <w:rPr>
                <w:i/>
              </w:rPr>
              <w:t>,g</w:t>
            </w:r>
            <w:proofErr w:type="spellEnd"/>
            <w:r w:rsidR="00101BF0" w:rsidRPr="00B45D2D">
              <w:rPr>
                <w:i/>
              </w:rPr>
              <w:t>, rumination</w:t>
            </w:r>
            <w:r w:rsidR="00984D43" w:rsidRPr="00B45D2D">
              <w:rPr>
                <w:i/>
              </w:rPr>
              <w:t xml:space="preserve"> data collection</w:t>
            </w:r>
            <w:r w:rsidRPr="00B45D2D">
              <w:rPr>
                <w:i/>
              </w:rPr>
              <w:t>; support for analysis and personnel)</w:t>
            </w:r>
          </w:p>
          <w:p w:rsidR="00FD06B5" w:rsidRDefault="00FD06B5" w:rsidP="00FD06B5">
            <w:r>
              <w:t xml:space="preserve">AG046938 </w:t>
            </w:r>
            <w:r w:rsidRPr="00B45D2D">
              <w:rPr>
                <w:i/>
              </w:rPr>
              <w:t>(</w:t>
            </w:r>
            <w:r w:rsidR="00984D43" w:rsidRPr="00B45D2D">
              <w:rPr>
                <w:i/>
              </w:rPr>
              <w:t xml:space="preserve">current holder of IRB for </w:t>
            </w:r>
            <w:r w:rsidRPr="00B45D2D">
              <w:rPr>
                <w:i/>
              </w:rPr>
              <w:t>acquisition of the LTS sample</w:t>
            </w:r>
            <w:r w:rsidR="00164120" w:rsidRPr="00B45D2D">
              <w:rPr>
                <w:i/>
              </w:rPr>
              <w:t>)</w:t>
            </w:r>
          </w:p>
          <w:p w:rsidR="00FD06B5" w:rsidRDefault="00FD06B5" w:rsidP="00FD06B5">
            <w:pPr>
              <w:rPr>
                <w:i/>
              </w:rPr>
            </w:pPr>
            <w:proofErr w:type="spellStart"/>
            <w:r>
              <w:t>xxxxxxxxxx</w:t>
            </w:r>
            <w:proofErr w:type="spellEnd"/>
            <w:r>
              <w:t xml:space="preserve"> </w:t>
            </w:r>
            <w:r w:rsidRPr="00B45D2D">
              <w:rPr>
                <w:i/>
              </w:rPr>
              <w:t>(training grant support for Dan Johnson</w:t>
            </w:r>
            <w:r w:rsidR="00984D43" w:rsidRPr="00B45D2D">
              <w:rPr>
                <w:i/>
              </w:rPr>
              <w:t>)</w:t>
            </w:r>
            <w:bookmarkStart w:id="0" w:name="_GoBack"/>
            <w:bookmarkEnd w:id="0"/>
          </w:p>
          <w:p w:rsidR="006D1F10" w:rsidRDefault="006D1F10" w:rsidP="00FD06B5">
            <w:pPr>
              <w:rPr>
                <w:i/>
              </w:rPr>
            </w:pPr>
          </w:p>
          <w:p w:rsidR="006D1F10" w:rsidRPr="006D1F10" w:rsidRDefault="006D1F10" w:rsidP="00FD06B5">
            <w:pPr>
              <w:rPr>
                <w:b/>
              </w:rPr>
            </w:pPr>
            <w:r>
              <w:t>If journal required specific IRB protocol numbers would use all 3: 0399.11; 14-0421; 11-0614.</w:t>
            </w:r>
          </w:p>
        </w:tc>
      </w:tr>
      <w:tr w:rsidR="00FD06B5" w:rsidTr="00FD06B5">
        <w:tc>
          <w:tcPr>
            <w:tcW w:w="1122" w:type="dxa"/>
          </w:tcPr>
          <w:p w:rsidR="00FD06B5" w:rsidRDefault="00FD06B5" w:rsidP="00811C88">
            <w:r>
              <w:t>CADD</w:t>
            </w:r>
          </w:p>
          <w:p w:rsidR="00FD06B5" w:rsidRDefault="00FD06B5" w:rsidP="00811C88">
            <w:r>
              <w:t>(GADD)</w:t>
            </w:r>
          </w:p>
        </w:tc>
        <w:tc>
          <w:tcPr>
            <w:tcW w:w="8352" w:type="dxa"/>
          </w:tcPr>
          <w:p w:rsidR="00FD06B5" w:rsidRDefault="00FD06B5" w:rsidP="009A794C">
            <w:pPr>
              <w:shd w:val="clear" w:color="auto" w:fill="FFFFFF"/>
              <w:spacing w:line="231" w:lineRule="atLeast"/>
            </w:pPr>
            <w:r>
              <w:t xml:space="preserve">Young SE, Corley RP, Stallings MC, Rhee SH, Crowley TJ, Hewitt JK. (2002). Substance use, abuse and dependence in adolescence: Prevalence, symptom profiles, and correlates. </w:t>
            </w:r>
            <w:r w:rsidRPr="004A41D0">
              <w:rPr>
                <w:i/>
              </w:rPr>
              <w:t>Drug and Alcohol Dependence</w:t>
            </w:r>
            <w:r>
              <w:t xml:space="preserve">, </w:t>
            </w:r>
            <w:r w:rsidRPr="004A41D0">
              <w:rPr>
                <w:i/>
              </w:rPr>
              <w:t>68</w:t>
            </w:r>
            <w:r>
              <w:t xml:space="preserve">, 309-322.  </w:t>
            </w:r>
            <w:r w:rsidRPr="009A794C">
              <w:rPr>
                <w:rFonts w:eastAsia="Times New Roman" w:cs="Arial"/>
              </w:rPr>
              <w:t>PMID:</w:t>
            </w:r>
            <w:r>
              <w:rPr>
                <w:rFonts w:eastAsia="Times New Roman" w:cs="Arial"/>
              </w:rPr>
              <w:t xml:space="preserve"> </w:t>
            </w:r>
            <w:r w:rsidRPr="009A794C">
              <w:rPr>
                <w:rFonts w:eastAsia="Times New Roman" w:cs="Arial"/>
              </w:rPr>
              <w:t>12393225</w:t>
            </w:r>
          </w:p>
          <w:p w:rsidR="00FD06B5" w:rsidRPr="005C3F9C" w:rsidRDefault="00FD06B5" w:rsidP="00811C88">
            <w:pPr>
              <w:rPr>
                <w:rFonts w:cs="Times New Roman"/>
              </w:rPr>
            </w:pPr>
            <w:r w:rsidRPr="005C3F9C">
              <w:rPr>
                <w:rFonts w:cs="Times New Roman"/>
                <w:color w:val="FF0000"/>
              </w:rPr>
              <w:t xml:space="preserve">Also use CAP, LTS </w:t>
            </w:r>
            <w:r>
              <w:rPr>
                <w:rFonts w:cs="Times New Roman"/>
                <w:color w:val="FF0000"/>
              </w:rPr>
              <w:t>(</w:t>
            </w:r>
            <w:r w:rsidRPr="005C3F9C">
              <w:rPr>
                <w:rFonts w:cs="Times New Roman"/>
                <w:color w:val="FF0000"/>
              </w:rPr>
              <w:t>&amp; CTS</w:t>
            </w:r>
            <w:r>
              <w:rPr>
                <w:rFonts w:cs="Times New Roman"/>
                <w:color w:val="FF0000"/>
              </w:rPr>
              <w:t>)</w:t>
            </w:r>
            <w:r w:rsidRPr="005C3F9C">
              <w:rPr>
                <w:rFonts w:cs="Times New Roman"/>
                <w:color w:val="FF0000"/>
              </w:rPr>
              <w:t xml:space="preserve"> as described below if samples are included</w:t>
            </w:r>
          </w:p>
        </w:tc>
        <w:tc>
          <w:tcPr>
            <w:tcW w:w="4752" w:type="dxa"/>
            <w:vMerge/>
          </w:tcPr>
          <w:p w:rsidR="00FD06B5" w:rsidRDefault="00FD06B5" w:rsidP="009A794C">
            <w:pPr>
              <w:shd w:val="clear" w:color="auto" w:fill="FFFFFF"/>
              <w:spacing w:line="231" w:lineRule="atLeast"/>
            </w:pPr>
          </w:p>
        </w:tc>
      </w:tr>
      <w:tr w:rsidR="00FD06B5" w:rsidTr="00FD06B5">
        <w:tc>
          <w:tcPr>
            <w:tcW w:w="1122" w:type="dxa"/>
          </w:tcPr>
          <w:p w:rsidR="00FD06B5" w:rsidRDefault="00FD06B5" w:rsidP="00811C88">
            <w:r>
              <w:t>CAP</w:t>
            </w:r>
          </w:p>
          <w:p w:rsidR="00FD06B5" w:rsidRDefault="00FD06B5" w:rsidP="00811C88">
            <w:r>
              <w:t>(</w:t>
            </w:r>
            <w:proofErr w:type="spellStart"/>
            <w:r>
              <w:t>CATSLife</w:t>
            </w:r>
            <w:proofErr w:type="spellEnd"/>
            <w:r>
              <w:t>)</w:t>
            </w:r>
          </w:p>
        </w:tc>
        <w:tc>
          <w:tcPr>
            <w:tcW w:w="8352" w:type="dxa"/>
          </w:tcPr>
          <w:p w:rsidR="00FD06B5" w:rsidRPr="008B6518" w:rsidRDefault="00FD06B5" w:rsidP="00B0031E">
            <w:pPr>
              <w:autoSpaceDE w:val="0"/>
              <w:autoSpaceDN w:val="0"/>
              <w:adjustRightInd w:val="0"/>
            </w:pPr>
            <w:r>
              <w:rPr>
                <w:rFonts w:cs="Minion-Regular"/>
              </w:rPr>
              <w:t>Rhea SA</w:t>
            </w:r>
            <w:r w:rsidRPr="00341808">
              <w:rPr>
                <w:rFonts w:cs="Minion-Regular"/>
              </w:rPr>
              <w:t>, Bricke</w:t>
            </w:r>
            <w:r>
              <w:rPr>
                <w:rFonts w:cs="Minion-Regular"/>
              </w:rPr>
              <w:t xml:space="preserve">r JB, Corley RP, </w:t>
            </w:r>
            <w:proofErr w:type="spellStart"/>
            <w:r>
              <w:rPr>
                <w:rFonts w:cs="Minion-Regular"/>
              </w:rPr>
              <w:t>DeFries</w:t>
            </w:r>
            <w:proofErr w:type="spellEnd"/>
            <w:r>
              <w:rPr>
                <w:rFonts w:cs="Minion-Regular"/>
              </w:rPr>
              <w:t xml:space="preserve"> J, Wadsworth SA (2013</w:t>
            </w:r>
            <w:r w:rsidRPr="00341808">
              <w:rPr>
                <w:rFonts w:cs="Minion-Regular"/>
              </w:rPr>
              <w:t>). Design, utility and history</w:t>
            </w:r>
            <w:r>
              <w:rPr>
                <w:rFonts w:cs="Minion-Regular"/>
              </w:rPr>
              <w:t xml:space="preserve"> </w:t>
            </w:r>
            <w:r w:rsidRPr="00341808">
              <w:rPr>
                <w:rFonts w:cs="Minion-Regular"/>
              </w:rPr>
              <w:t>of the Colorado Adoption Project: Examples involving adjustment</w:t>
            </w:r>
            <w:r>
              <w:rPr>
                <w:rFonts w:cs="Minion-Regular"/>
              </w:rPr>
              <w:t xml:space="preserve"> </w:t>
            </w:r>
            <w:r w:rsidRPr="00341808">
              <w:rPr>
                <w:rFonts w:cs="Minion-Regular"/>
              </w:rPr>
              <w:t xml:space="preserve">interaction. </w:t>
            </w:r>
            <w:r w:rsidRPr="00341808">
              <w:rPr>
                <w:rFonts w:cs="Minion-Italic"/>
                <w:i/>
                <w:iCs/>
              </w:rPr>
              <w:t>Adoption Quarterly</w:t>
            </w:r>
            <w:r>
              <w:rPr>
                <w:rFonts w:cs="Minion-Italic"/>
                <w:i/>
                <w:iCs/>
              </w:rPr>
              <w:t xml:space="preserve">, 16, </w:t>
            </w:r>
            <w:r>
              <w:rPr>
                <w:rFonts w:cs="Minion-Italic"/>
                <w:iCs/>
              </w:rPr>
              <w:t xml:space="preserve">17-39.  </w:t>
            </w:r>
            <w:r w:rsidRPr="00673F1E">
              <w:rPr>
                <w:rFonts w:eastAsia="Times New Roman" w:cs="Arial"/>
              </w:rPr>
              <w:t>PMCID: PMC3700549</w:t>
            </w:r>
          </w:p>
          <w:p w:rsidR="00FD06B5" w:rsidRDefault="00FD06B5" w:rsidP="009A794C">
            <w:pPr>
              <w:shd w:val="clear" w:color="auto" w:fill="FFFFFF"/>
              <w:spacing w:line="252" w:lineRule="atLeast"/>
            </w:pPr>
            <w:r>
              <w:t xml:space="preserve">Rhea SA, Bricker JB, Wadsworth SJ, Corley RP. (2013) The Colorado Adoption Project. </w:t>
            </w:r>
            <w:r w:rsidRPr="00DF3647">
              <w:rPr>
                <w:rFonts w:cs="Minion-Italic"/>
                <w:i/>
                <w:iCs/>
              </w:rPr>
              <w:t>Twin Research and</w:t>
            </w:r>
            <w:r>
              <w:rPr>
                <w:rFonts w:cs="Minion-Italic"/>
                <w:i/>
                <w:iCs/>
              </w:rPr>
              <w:t xml:space="preserve"> </w:t>
            </w:r>
            <w:r w:rsidRPr="00DF3647">
              <w:rPr>
                <w:rFonts w:cs="Minion-Italic"/>
                <w:i/>
                <w:iCs/>
              </w:rPr>
              <w:t>Human</w:t>
            </w:r>
            <w:r>
              <w:rPr>
                <w:rFonts w:cs="Minion-Italic"/>
                <w:i/>
                <w:iCs/>
              </w:rPr>
              <w:t xml:space="preserve"> </w:t>
            </w:r>
            <w:r w:rsidRPr="00DF3647">
              <w:rPr>
                <w:rFonts w:cs="Minion-Italic"/>
                <w:i/>
                <w:iCs/>
              </w:rPr>
              <w:t>Genetics</w:t>
            </w:r>
            <w:r w:rsidRPr="00DF3647">
              <w:rPr>
                <w:rFonts w:cs="Minion-Regular"/>
              </w:rPr>
              <w:t xml:space="preserve">, </w:t>
            </w:r>
            <w:r w:rsidRPr="004A41D0">
              <w:rPr>
                <w:rFonts w:cs="Minion-Regular"/>
                <w:i/>
              </w:rPr>
              <w:t>16</w:t>
            </w:r>
            <w:r>
              <w:rPr>
                <w:rFonts w:cs="Minion-Regular"/>
              </w:rPr>
              <w:t>, 358-365</w:t>
            </w:r>
            <w:r w:rsidRPr="00DF3647">
              <w:rPr>
                <w:rFonts w:cs="Minion-Regular"/>
              </w:rPr>
              <w:t>.</w:t>
            </w:r>
            <w:r>
              <w:rPr>
                <w:rFonts w:cs="Minion-Regular"/>
              </w:rPr>
              <w:t xml:space="preserve">   </w:t>
            </w:r>
            <w:r w:rsidRPr="009A794C">
              <w:rPr>
                <w:rFonts w:eastAsia="Times New Roman" w:cs="Arial"/>
              </w:rPr>
              <w:t>PMCID: PMC3817005</w:t>
            </w:r>
          </w:p>
        </w:tc>
        <w:tc>
          <w:tcPr>
            <w:tcW w:w="4752" w:type="dxa"/>
            <w:vMerge/>
          </w:tcPr>
          <w:p w:rsidR="00FD06B5" w:rsidRDefault="00FD06B5" w:rsidP="00B0031E">
            <w:pPr>
              <w:autoSpaceDE w:val="0"/>
              <w:autoSpaceDN w:val="0"/>
              <w:adjustRightInd w:val="0"/>
              <w:rPr>
                <w:rFonts w:cs="Minion-Regular"/>
              </w:rPr>
            </w:pPr>
          </w:p>
        </w:tc>
      </w:tr>
      <w:tr w:rsidR="00FD06B5" w:rsidTr="00FD06B5">
        <w:tc>
          <w:tcPr>
            <w:tcW w:w="1122" w:type="dxa"/>
          </w:tcPr>
          <w:p w:rsidR="00FD06B5" w:rsidRDefault="00FD06B5" w:rsidP="00811C88">
            <w:r>
              <w:t>LTS</w:t>
            </w:r>
          </w:p>
          <w:p w:rsidR="00FD06B5" w:rsidRDefault="00FD06B5" w:rsidP="00811C88">
            <w:r>
              <w:t>(</w:t>
            </w:r>
            <w:proofErr w:type="spellStart"/>
            <w:r>
              <w:t>CATSLife</w:t>
            </w:r>
            <w:proofErr w:type="spellEnd"/>
            <w:r>
              <w:t>)</w:t>
            </w:r>
          </w:p>
        </w:tc>
        <w:tc>
          <w:tcPr>
            <w:tcW w:w="8352" w:type="dxa"/>
          </w:tcPr>
          <w:p w:rsidR="00FD06B5" w:rsidRPr="00DF3647" w:rsidRDefault="00FD06B5" w:rsidP="009A794C">
            <w:pPr>
              <w:shd w:val="clear" w:color="auto" w:fill="FFFFFF"/>
              <w:spacing w:line="231" w:lineRule="atLeast"/>
              <w:rPr>
                <w:rFonts w:cs="ITCGaramondStd-Lt"/>
              </w:rPr>
            </w:pPr>
            <w:r>
              <w:rPr>
                <w:rFonts w:cs="Minion-Regular"/>
              </w:rPr>
              <w:t xml:space="preserve">Rhea SA, Gross AA, </w:t>
            </w:r>
            <w:proofErr w:type="spellStart"/>
            <w:r>
              <w:rPr>
                <w:rFonts w:cs="Minion-Regular"/>
              </w:rPr>
              <w:t>Haberstick</w:t>
            </w:r>
            <w:proofErr w:type="spellEnd"/>
            <w:r>
              <w:rPr>
                <w:rFonts w:cs="Minion-Regular"/>
              </w:rPr>
              <w:t xml:space="preserve"> BC, Corley R</w:t>
            </w:r>
            <w:r w:rsidRPr="00DF3647">
              <w:rPr>
                <w:rFonts w:cs="Minion-Regular"/>
              </w:rPr>
              <w:t>P.</w:t>
            </w:r>
            <w:r>
              <w:rPr>
                <w:rFonts w:cs="Minion-Regular"/>
              </w:rPr>
              <w:t xml:space="preserve"> </w:t>
            </w:r>
            <w:r w:rsidRPr="00DF3647">
              <w:rPr>
                <w:rFonts w:cs="Minion-Regular"/>
              </w:rPr>
              <w:t xml:space="preserve">(2006). Colorado Twin Registry. </w:t>
            </w:r>
            <w:r w:rsidRPr="00DF3647">
              <w:rPr>
                <w:rFonts w:cs="Minion-Italic"/>
                <w:i/>
                <w:iCs/>
              </w:rPr>
              <w:t>Twin Research and</w:t>
            </w:r>
            <w:r>
              <w:rPr>
                <w:rFonts w:cs="Minion-Italic"/>
                <w:i/>
                <w:iCs/>
              </w:rPr>
              <w:t xml:space="preserve"> </w:t>
            </w:r>
            <w:r w:rsidRPr="00DF3647">
              <w:rPr>
                <w:rFonts w:cs="Minion-Italic"/>
                <w:i/>
                <w:iCs/>
              </w:rPr>
              <w:t>Human</w:t>
            </w:r>
            <w:r>
              <w:rPr>
                <w:rFonts w:cs="Minion-Italic"/>
                <w:i/>
                <w:iCs/>
              </w:rPr>
              <w:t xml:space="preserve"> </w:t>
            </w:r>
            <w:r w:rsidRPr="00DF3647">
              <w:rPr>
                <w:rFonts w:cs="Minion-Italic"/>
                <w:i/>
                <w:iCs/>
              </w:rPr>
              <w:t>Genetics</w:t>
            </w:r>
            <w:r w:rsidRPr="00DF3647">
              <w:rPr>
                <w:rFonts w:cs="Minion-Regular"/>
              </w:rPr>
              <w:t xml:space="preserve">, </w:t>
            </w:r>
            <w:r w:rsidRPr="00DF3647">
              <w:rPr>
                <w:rFonts w:cs="Minion-Italic"/>
                <w:i/>
                <w:iCs/>
              </w:rPr>
              <w:t>9</w:t>
            </w:r>
            <w:r w:rsidRPr="00DF3647">
              <w:rPr>
                <w:rFonts w:cs="Minion-Regular"/>
              </w:rPr>
              <w:t>, 941–949.</w:t>
            </w:r>
            <w:r>
              <w:rPr>
                <w:rFonts w:cs="Minion-Regular"/>
              </w:rPr>
              <w:t xml:space="preserve">  </w:t>
            </w:r>
            <w:r w:rsidRPr="009A794C">
              <w:rPr>
                <w:rFonts w:eastAsia="Times New Roman" w:cs="Arial"/>
              </w:rPr>
              <w:t>PMID: 17254434</w:t>
            </w:r>
          </w:p>
          <w:p w:rsidR="00FD06B5" w:rsidRDefault="00FD06B5" w:rsidP="009A794C">
            <w:pPr>
              <w:shd w:val="clear" w:color="auto" w:fill="FFFFFF"/>
              <w:spacing w:line="252" w:lineRule="atLeast"/>
            </w:pPr>
            <w:r>
              <w:rPr>
                <w:rFonts w:cs="ITCGaramondStd-Lt"/>
              </w:rPr>
              <w:t xml:space="preserve">Rhea SA, Gross, A, </w:t>
            </w:r>
            <w:proofErr w:type="spellStart"/>
            <w:r>
              <w:rPr>
                <w:rFonts w:cs="ITCGaramondStd-Lt"/>
              </w:rPr>
              <w:t>Haberstick</w:t>
            </w:r>
            <w:proofErr w:type="spellEnd"/>
            <w:r>
              <w:rPr>
                <w:rFonts w:cs="ITCGaramondStd-Lt"/>
              </w:rPr>
              <w:t xml:space="preserve"> BC, Corley RP.</w:t>
            </w:r>
            <w:r w:rsidRPr="00DF3647">
              <w:rPr>
                <w:rFonts w:cs="ITCGaramondStd-Lt"/>
              </w:rPr>
              <w:t xml:space="preserve"> (2013).</w:t>
            </w:r>
            <w:r>
              <w:rPr>
                <w:rFonts w:cs="ITCGaramondStd-Lt"/>
              </w:rPr>
              <w:t xml:space="preserve"> </w:t>
            </w:r>
            <w:r w:rsidRPr="00DF3647">
              <w:rPr>
                <w:rFonts w:cs="ITCGaramondStd-Lt"/>
              </w:rPr>
              <w:t xml:space="preserve">Colorado Twin Registry: An update. </w:t>
            </w:r>
            <w:r w:rsidRPr="00DF3647">
              <w:rPr>
                <w:rFonts w:cs="ITCGaramondStd-LtIta"/>
                <w:i/>
                <w:iCs/>
              </w:rPr>
              <w:t>Twin Research and</w:t>
            </w:r>
            <w:r>
              <w:rPr>
                <w:rFonts w:cs="ITCGaramondStd-LtIta"/>
                <w:i/>
                <w:iCs/>
              </w:rPr>
              <w:t xml:space="preserve"> </w:t>
            </w:r>
            <w:r w:rsidRPr="00DF3647">
              <w:rPr>
                <w:rFonts w:cs="ITCGaramondStd-LtIta"/>
                <w:i/>
                <w:iCs/>
              </w:rPr>
              <w:t xml:space="preserve">Human </w:t>
            </w:r>
            <w:r>
              <w:rPr>
                <w:rFonts w:cs="ITCGaramondStd-LtIta"/>
                <w:i/>
                <w:iCs/>
              </w:rPr>
              <w:t>G</w:t>
            </w:r>
            <w:r w:rsidRPr="00DF3647">
              <w:rPr>
                <w:rFonts w:cs="ITCGaramondStd-LtIta"/>
                <w:i/>
                <w:iCs/>
              </w:rPr>
              <w:t>enetics</w:t>
            </w:r>
            <w:r w:rsidRPr="00DF3647">
              <w:rPr>
                <w:rFonts w:cs="ITCGaramondStd-Lt"/>
              </w:rPr>
              <w:t xml:space="preserve">, </w:t>
            </w:r>
            <w:r w:rsidRPr="00DF3647">
              <w:rPr>
                <w:rFonts w:cs="ITCGaramondStd-LtIta"/>
                <w:i/>
                <w:iCs/>
              </w:rPr>
              <w:t>16</w:t>
            </w:r>
            <w:r w:rsidRPr="00DF3647">
              <w:rPr>
                <w:rFonts w:cs="ITCGaramondStd-Lt"/>
              </w:rPr>
              <w:t xml:space="preserve">, 351–357. </w:t>
            </w:r>
            <w:r>
              <w:rPr>
                <w:rFonts w:cs="ITCGaramondStd-Lt"/>
              </w:rPr>
              <w:t xml:space="preserve">  </w:t>
            </w:r>
            <w:r w:rsidRPr="009A794C">
              <w:rPr>
                <w:rFonts w:eastAsia="Times New Roman" w:cs="Arial"/>
              </w:rPr>
              <w:t>PMCID: PMC3854934</w:t>
            </w:r>
          </w:p>
        </w:tc>
        <w:tc>
          <w:tcPr>
            <w:tcW w:w="4752" w:type="dxa"/>
            <w:vMerge/>
          </w:tcPr>
          <w:p w:rsidR="00FD06B5" w:rsidRDefault="00FD06B5" w:rsidP="009A794C">
            <w:pPr>
              <w:shd w:val="clear" w:color="auto" w:fill="FFFFFF"/>
              <w:spacing w:line="231" w:lineRule="atLeast"/>
              <w:rPr>
                <w:rFonts w:cs="Minion-Regular"/>
              </w:rPr>
            </w:pPr>
          </w:p>
        </w:tc>
      </w:tr>
      <w:tr w:rsidR="00FD06B5" w:rsidTr="00FD06B5">
        <w:tc>
          <w:tcPr>
            <w:tcW w:w="1122" w:type="dxa"/>
          </w:tcPr>
          <w:p w:rsidR="00FD06B5" w:rsidRDefault="00FD06B5" w:rsidP="00811C88">
            <w:r>
              <w:t>LTS EF</w:t>
            </w:r>
          </w:p>
          <w:p w:rsidR="00FD06B5" w:rsidRDefault="00FD06B5" w:rsidP="00811C88"/>
        </w:tc>
        <w:tc>
          <w:tcPr>
            <w:tcW w:w="8352" w:type="dxa"/>
          </w:tcPr>
          <w:p w:rsidR="00FD06B5" w:rsidRDefault="00FD06B5" w:rsidP="004A41D0">
            <w:r w:rsidRPr="005C3F9C">
              <w:rPr>
                <w:color w:val="FF0000"/>
              </w:rPr>
              <w:t>General LTS</w:t>
            </w:r>
            <w:r>
              <w:rPr>
                <w:color w:val="FF0000"/>
              </w:rPr>
              <w:t xml:space="preserve"> above </w:t>
            </w:r>
            <w:r w:rsidRPr="005C3F9C">
              <w:rPr>
                <w:b/>
                <w:color w:val="FF0000"/>
              </w:rPr>
              <w:t>plus</w:t>
            </w:r>
          </w:p>
          <w:p w:rsidR="00FD06B5" w:rsidRDefault="00FD06B5" w:rsidP="004A41D0">
            <w:pPr>
              <w:rPr>
                <w:rFonts w:eastAsia="Times New Roman" w:cs="Times New Roman"/>
              </w:rPr>
            </w:pPr>
            <w:r>
              <w:rPr>
                <w:rFonts w:eastAsia="Times New Roman" w:cs="Times New Roman"/>
                <w:i/>
              </w:rPr>
              <w:t>1</w:t>
            </w:r>
            <w:r w:rsidRPr="00B94011">
              <w:rPr>
                <w:rFonts w:eastAsia="Times New Roman" w:cs="Times New Roman"/>
                <w:i/>
                <w:vertAlign w:val="superscript"/>
              </w:rPr>
              <w:t>st</w:t>
            </w:r>
            <w:r>
              <w:rPr>
                <w:rFonts w:eastAsia="Times New Roman" w:cs="Times New Roman"/>
                <w:i/>
              </w:rPr>
              <w:t xml:space="preserve"> wave: </w:t>
            </w:r>
            <w:r>
              <w:rPr>
                <w:rFonts w:eastAsia="Times New Roman" w:cs="Times New Roman"/>
              </w:rPr>
              <w:t>Friedman NP, Miyake A, Young SE</w:t>
            </w:r>
            <w:r w:rsidRPr="008C15DF">
              <w:rPr>
                <w:rFonts w:eastAsia="Times New Roman" w:cs="Times New Roman"/>
              </w:rPr>
              <w:t>, </w:t>
            </w:r>
            <w:proofErr w:type="spellStart"/>
            <w:r w:rsidRPr="008C15DF">
              <w:rPr>
                <w:rFonts w:eastAsia="Times New Roman" w:cs="Times New Roman"/>
              </w:rPr>
              <w:t>D</w:t>
            </w:r>
            <w:r>
              <w:rPr>
                <w:rFonts w:eastAsia="Times New Roman" w:cs="Times New Roman"/>
              </w:rPr>
              <w:t>eFries</w:t>
            </w:r>
            <w:proofErr w:type="spellEnd"/>
            <w:r>
              <w:rPr>
                <w:rFonts w:eastAsia="Times New Roman" w:cs="Times New Roman"/>
              </w:rPr>
              <w:t xml:space="preserve"> JC, Corley RP, Hewitt JK.</w:t>
            </w:r>
            <w:r w:rsidRPr="008C15DF">
              <w:rPr>
                <w:rFonts w:eastAsia="Times New Roman" w:cs="Times New Roman"/>
              </w:rPr>
              <w:t xml:space="preserve"> (2008). Individual differences in executive functions are almost entirely genetic in origin. Journal of Experimental Psychology: General, 137, 201-225. PMCID: PMC2762790.</w:t>
            </w:r>
          </w:p>
          <w:p w:rsidR="00FD06B5" w:rsidRPr="008C15DF" w:rsidRDefault="00FD06B5" w:rsidP="00B94011">
            <w:pPr>
              <w:rPr>
                <w:rFonts w:eastAsia="Times New Roman" w:cs="Times New Roman"/>
              </w:rPr>
            </w:pPr>
            <w:r w:rsidRPr="00B94011">
              <w:rPr>
                <w:rFonts w:eastAsia="Times New Roman" w:cs="Times New Roman"/>
                <w:i/>
              </w:rPr>
              <w:t>2</w:t>
            </w:r>
            <w:r w:rsidRPr="00B94011">
              <w:rPr>
                <w:rFonts w:eastAsia="Times New Roman" w:cs="Times New Roman"/>
                <w:i/>
                <w:vertAlign w:val="superscript"/>
              </w:rPr>
              <w:t>nd</w:t>
            </w:r>
            <w:r w:rsidRPr="00B94011">
              <w:rPr>
                <w:rFonts w:eastAsia="Times New Roman" w:cs="Times New Roman"/>
                <w:i/>
              </w:rPr>
              <w:t xml:space="preserve"> wave:</w:t>
            </w:r>
            <w:r>
              <w:rPr>
                <w:rFonts w:eastAsia="Times New Roman" w:cs="Times New Roman"/>
              </w:rPr>
              <w:t xml:space="preserve"> Friedman NP, Miyake A, </w:t>
            </w:r>
            <w:proofErr w:type="spellStart"/>
            <w:r>
              <w:rPr>
                <w:rFonts w:eastAsia="Times New Roman" w:cs="Times New Roman"/>
              </w:rPr>
              <w:t>Altamirano</w:t>
            </w:r>
            <w:proofErr w:type="spellEnd"/>
            <w:r>
              <w:rPr>
                <w:rFonts w:eastAsia="Times New Roman" w:cs="Times New Roman"/>
              </w:rPr>
              <w:t xml:space="preserve"> LJ, Corley RP, Young SE, Rhea SA, Hewitt J</w:t>
            </w:r>
            <w:r w:rsidRPr="00B94011">
              <w:rPr>
                <w:rFonts w:eastAsia="Times New Roman" w:cs="Times New Roman"/>
              </w:rPr>
              <w:t>K. (2016). Stability and change in executive function abilities from late adolescence to early adulthood: A longitudinal twin study.</w:t>
            </w:r>
            <w:r>
              <w:rPr>
                <w:rFonts w:eastAsia="Times New Roman" w:cs="Times New Roman"/>
              </w:rPr>
              <w:t> Developmental Psychology, 52, </w:t>
            </w:r>
            <w:r w:rsidRPr="00B94011">
              <w:rPr>
                <w:rFonts w:eastAsia="Times New Roman" w:cs="Times New Roman"/>
              </w:rPr>
              <w:t>326-340. PMCID: NIHMS734455.</w:t>
            </w:r>
          </w:p>
        </w:tc>
        <w:tc>
          <w:tcPr>
            <w:tcW w:w="4752" w:type="dxa"/>
            <w:vMerge/>
          </w:tcPr>
          <w:p w:rsidR="00FD06B5" w:rsidRPr="005C3F9C" w:rsidRDefault="00FD06B5" w:rsidP="004A41D0">
            <w:pPr>
              <w:rPr>
                <w:color w:val="FF0000"/>
              </w:rPr>
            </w:pPr>
          </w:p>
        </w:tc>
      </w:tr>
      <w:tr w:rsidR="00FD06B5" w:rsidTr="00FD06B5">
        <w:tc>
          <w:tcPr>
            <w:tcW w:w="1122" w:type="dxa"/>
          </w:tcPr>
          <w:p w:rsidR="00FD06B5" w:rsidRDefault="00FD06B5" w:rsidP="00811C88">
            <w:r>
              <w:t>CTS EF</w:t>
            </w:r>
          </w:p>
        </w:tc>
        <w:tc>
          <w:tcPr>
            <w:tcW w:w="8352" w:type="dxa"/>
          </w:tcPr>
          <w:p w:rsidR="00FD06B5" w:rsidRDefault="00FD06B5" w:rsidP="00811C88">
            <w:r w:rsidRPr="005C3F9C">
              <w:rPr>
                <w:color w:val="FF0000"/>
              </w:rPr>
              <w:t xml:space="preserve">General LTS </w:t>
            </w:r>
            <w:r>
              <w:rPr>
                <w:color w:val="FF0000"/>
              </w:rPr>
              <w:t xml:space="preserve">(&amp;CTS) above </w:t>
            </w:r>
            <w:r w:rsidRPr="005C3F9C">
              <w:rPr>
                <w:b/>
                <w:color w:val="FF0000"/>
              </w:rPr>
              <w:t>plus</w:t>
            </w:r>
          </w:p>
          <w:p w:rsidR="00FD06B5" w:rsidRDefault="00FD06B5" w:rsidP="00811C88">
            <w:r>
              <w:t>WHAT TO USE? SUSAN’s FINAL REPORT MAYBE? To my knowledge no peer reviewed publication exists at this time. Naomi is now working on a paper using these data so perhaps that will become the citation.</w:t>
            </w:r>
          </w:p>
        </w:tc>
        <w:tc>
          <w:tcPr>
            <w:tcW w:w="4752" w:type="dxa"/>
            <w:vMerge/>
          </w:tcPr>
          <w:p w:rsidR="00FD06B5" w:rsidRPr="005C3F9C" w:rsidRDefault="00FD06B5" w:rsidP="00811C88">
            <w:pPr>
              <w:rPr>
                <w:color w:val="FF0000"/>
              </w:rPr>
            </w:pPr>
          </w:p>
        </w:tc>
      </w:tr>
      <w:tr w:rsidR="00FD06B5" w:rsidTr="00FD06B5">
        <w:tc>
          <w:tcPr>
            <w:tcW w:w="1122" w:type="dxa"/>
          </w:tcPr>
          <w:p w:rsidR="00FD06B5" w:rsidRDefault="00FD06B5" w:rsidP="00811C88">
            <w:r>
              <w:t>LTS/CTS Sleep</w:t>
            </w:r>
          </w:p>
        </w:tc>
        <w:tc>
          <w:tcPr>
            <w:tcW w:w="8352" w:type="dxa"/>
          </w:tcPr>
          <w:p w:rsidR="00FD06B5" w:rsidRDefault="00FD06B5" w:rsidP="005C3F9C">
            <w:pPr>
              <w:autoSpaceDE w:val="0"/>
              <w:autoSpaceDN w:val="0"/>
              <w:adjustRightInd w:val="0"/>
              <w:rPr>
                <w:rFonts w:ascii="Trebuchet MS" w:hAnsi="Trebuchet MS" w:cs="Trebuchet MS"/>
                <w:color w:val="000000"/>
                <w:sz w:val="20"/>
                <w:szCs w:val="20"/>
              </w:rPr>
            </w:pPr>
            <w:r w:rsidRPr="005C3F9C">
              <w:rPr>
                <w:color w:val="FF0000"/>
              </w:rPr>
              <w:t xml:space="preserve">General LTS </w:t>
            </w:r>
            <w:r>
              <w:rPr>
                <w:color w:val="FF0000"/>
              </w:rPr>
              <w:t xml:space="preserve">(&amp;CTS) above </w:t>
            </w:r>
            <w:r w:rsidRPr="005C3F9C">
              <w:rPr>
                <w:b/>
                <w:color w:val="FF0000"/>
              </w:rPr>
              <w:t>plus</w:t>
            </w:r>
          </w:p>
          <w:p w:rsidR="00FD06B5" w:rsidRPr="008B6518" w:rsidRDefault="00FD06B5" w:rsidP="00694D76">
            <w:pPr>
              <w:autoSpaceDE w:val="0"/>
              <w:autoSpaceDN w:val="0"/>
              <w:adjustRightInd w:val="0"/>
            </w:pPr>
            <w:r>
              <w:t>Drake CL, Friedman NP, Wright KP, Jr., Roth, TR. (2011). Sleep reactivity and insomnia: Genetic and environmental influences. Sleep, 34, 1179-1188. PMCID: PMC3157659.</w:t>
            </w:r>
            <w:r>
              <w:rPr>
                <w:rFonts w:ascii="Trebuchet MS" w:hAnsi="Trebuchet MS" w:cs="Trebuchet MS"/>
                <w:color w:val="000000"/>
                <w:sz w:val="20"/>
                <w:szCs w:val="20"/>
              </w:rPr>
              <w:t xml:space="preserve"> </w:t>
            </w:r>
          </w:p>
        </w:tc>
        <w:tc>
          <w:tcPr>
            <w:tcW w:w="4752" w:type="dxa"/>
            <w:vMerge/>
          </w:tcPr>
          <w:p w:rsidR="00FD06B5" w:rsidRPr="005C3F9C" w:rsidRDefault="00FD06B5" w:rsidP="005C3F9C">
            <w:pPr>
              <w:autoSpaceDE w:val="0"/>
              <w:autoSpaceDN w:val="0"/>
              <w:adjustRightInd w:val="0"/>
              <w:rPr>
                <w:color w:val="FF0000"/>
              </w:rPr>
            </w:pPr>
          </w:p>
        </w:tc>
      </w:tr>
    </w:tbl>
    <w:p w:rsidR="00715F68" w:rsidRDefault="00715F68" w:rsidP="008344A0"/>
    <w:sectPr w:rsidR="00715F68" w:rsidSect="00922964">
      <w:pgSz w:w="15840" w:h="12240" w:orient="landscape"/>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ITCGaramondStd-Lt">
    <w:panose1 w:val="00000000000000000000"/>
    <w:charset w:val="00"/>
    <w:family w:val="roman"/>
    <w:notTrueType/>
    <w:pitch w:val="default"/>
    <w:sig w:usb0="00000003" w:usb1="00000000" w:usb2="00000000" w:usb3="00000000" w:csb0="00000001" w:csb1="00000000"/>
  </w:font>
  <w:font w:name="ITCGaramondStd-LtIt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45"/>
    <w:rsid w:val="000577C4"/>
    <w:rsid w:val="00101BF0"/>
    <w:rsid w:val="001066D3"/>
    <w:rsid w:val="00164120"/>
    <w:rsid w:val="00172414"/>
    <w:rsid w:val="001A19CC"/>
    <w:rsid w:val="001C49AC"/>
    <w:rsid w:val="00210639"/>
    <w:rsid w:val="002837D8"/>
    <w:rsid w:val="00304763"/>
    <w:rsid w:val="00341808"/>
    <w:rsid w:val="003D2A6A"/>
    <w:rsid w:val="0041461F"/>
    <w:rsid w:val="004A41D0"/>
    <w:rsid w:val="005351AA"/>
    <w:rsid w:val="005C3F9C"/>
    <w:rsid w:val="00602865"/>
    <w:rsid w:val="00673F1E"/>
    <w:rsid w:val="00694D76"/>
    <w:rsid w:val="00696589"/>
    <w:rsid w:val="006D1F10"/>
    <w:rsid w:val="00715F68"/>
    <w:rsid w:val="008241E8"/>
    <w:rsid w:val="008344A0"/>
    <w:rsid w:val="00853D7D"/>
    <w:rsid w:val="008B6518"/>
    <w:rsid w:val="008C15DF"/>
    <w:rsid w:val="0092180E"/>
    <w:rsid w:val="00922964"/>
    <w:rsid w:val="00984D43"/>
    <w:rsid w:val="009A794C"/>
    <w:rsid w:val="00A567BB"/>
    <w:rsid w:val="00A91358"/>
    <w:rsid w:val="00AC02C3"/>
    <w:rsid w:val="00AE4980"/>
    <w:rsid w:val="00B0031E"/>
    <w:rsid w:val="00B45D2D"/>
    <w:rsid w:val="00B5732A"/>
    <w:rsid w:val="00B94011"/>
    <w:rsid w:val="00C055C0"/>
    <w:rsid w:val="00C74F88"/>
    <w:rsid w:val="00D45289"/>
    <w:rsid w:val="00D61B5C"/>
    <w:rsid w:val="00D63145"/>
    <w:rsid w:val="00D819FE"/>
    <w:rsid w:val="00D952B5"/>
    <w:rsid w:val="00DF3647"/>
    <w:rsid w:val="00E71A66"/>
    <w:rsid w:val="00E73EEB"/>
    <w:rsid w:val="00F50FE4"/>
    <w:rsid w:val="00F97CF4"/>
    <w:rsid w:val="00FD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66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6D3"/>
    <w:rPr>
      <w:rFonts w:ascii="Segoe UI" w:hAnsi="Segoe UI" w:cs="Segoe UI"/>
      <w:sz w:val="18"/>
      <w:szCs w:val="18"/>
    </w:rPr>
  </w:style>
  <w:style w:type="character" w:customStyle="1" w:styleId="apple-converted-space">
    <w:name w:val="apple-converted-space"/>
    <w:basedOn w:val="DefaultParagraphFont"/>
    <w:rsid w:val="00673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66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6D3"/>
    <w:rPr>
      <w:rFonts w:ascii="Segoe UI" w:hAnsi="Segoe UI" w:cs="Segoe UI"/>
      <w:sz w:val="18"/>
      <w:szCs w:val="18"/>
    </w:rPr>
  </w:style>
  <w:style w:type="character" w:customStyle="1" w:styleId="apple-converted-space">
    <w:name w:val="apple-converted-space"/>
    <w:basedOn w:val="DefaultParagraphFont"/>
    <w:rsid w:val="0067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0597">
      <w:bodyDiv w:val="1"/>
      <w:marLeft w:val="0"/>
      <w:marRight w:val="0"/>
      <w:marTop w:val="0"/>
      <w:marBottom w:val="0"/>
      <w:divBdr>
        <w:top w:val="none" w:sz="0" w:space="0" w:color="auto"/>
        <w:left w:val="none" w:sz="0" w:space="0" w:color="auto"/>
        <w:bottom w:val="none" w:sz="0" w:space="0" w:color="auto"/>
        <w:right w:val="none" w:sz="0" w:space="0" w:color="auto"/>
      </w:divBdr>
    </w:div>
    <w:div w:id="788279372">
      <w:bodyDiv w:val="1"/>
      <w:marLeft w:val="0"/>
      <w:marRight w:val="0"/>
      <w:marTop w:val="0"/>
      <w:marBottom w:val="0"/>
      <w:divBdr>
        <w:top w:val="none" w:sz="0" w:space="0" w:color="auto"/>
        <w:left w:val="none" w:sz="0" w:space="0" w:color="auto"/>
        <w:bottom w:val="none" w:sz="0" w:space="0" w:color="auto"/>
        <w:right w:val="none" w:sz="0" w:space="0" w:color="auto"/>
      </w:divBdr>
    </w:div>
    <w:div w:id="1140538581">
      <w:bodyDiv w:val="1"/>
      <w:marLeft w:val="0"/>
      <w:marRight w:val="0"/>
      <w:marTop w:val="0"/>
      <w:marBottom w:val="0"/>
      <w:divBdr>
        <w:top w:val="none" w:sz="0" w:space="0" w:color="auto"/>
        <w:left w:val="none" w:sz="0" w:space="0" w:color="auto"/>
        <w:bottom w:val="none" w:sz="0" w:space="0" w:color="auto"/>
        <w:right w:val="none" w:sz="0" w:space="0" w:color="auto"/>
      </w:divBdr>
      <w:divsChild>
        <w:div w:id="1565675227">
          <w:marLeft w:val="0"/>
          <w:marRight w:val="0"/>
          <w:marTop w:val="0"/>
          <w:marBottom w:val="0"/>
          <w:divBdr>
            <w:top w:val="none" w:sz="0" w:space="0" w:color="auto"/>
            <w:left w:val="none" w:sz="0" w:space="0" w:color="auto"/>
            <w:bottom w:val="none" w:sz="0" w:space="0" w:color="auto"/>
            <w:right w:val="none" w:sz="0" w:space="0" w:color="auto"/>
          </w:divBdr>
        </w:div>
      </w:divsChild>
    </w:div>
    <w:div w:id="1284727884">
      <w:bodyDiv w:val="1"/>
      <w:marLeft w:val="0"/>
      <w:marRight w:val="0"/>
      <w:marTop w:val="0"/>
      <w:marBottom w:val="0"/>
      <w:divBdr>
        <w:top w:val="none" w:sz="0" w:space="0" w:color="auto"/>
        <w:left w:val="none" w:sz="0" w:space="0" w:color="auto"/>
        <w:bottom w:val="none" w:sz="0" w:space="0" w:color="auto"/>
        <w:right w:val="none" w:sz="0" w:space="0" w:color="auto"/>
      </w:divBdr>
    </w:div>
    <w:div w:id="1350720934">
      <w:bodyDiv w:val="1"/>
      <w:marLeft w:val="0"/>
      <w:marRight w:val="0"/>
      <w:marTop w:val="0"/>
      <w:marBottom w:val="0"/>
      <w:divBdr>
        <w:top w:val="none" w:sz="0" w:space="0" w:color="auto"/>
        <w:left w:val="none" w:sz="0" w:space="0" w:color="auto"/>
        <w:bottom w:val="none" w:sz="0" w:space="0" w:color="auto"/>
        <w:right w:val="none" w:sz="0" w:space="0" w:color="auto"/>
      </w:divBdr>
    </w:div>
    <w:div w:id="1539393390">
      <w:bodyDiv w:val="1"/>
      <w:marLeft w:val="0"/>
      <w:marRight w:val="0"/>
      <w:marTop w:val="0"/>
      <w:marBottom w:val="0"/>
      <w:divBdr>
        <w:top w:val="none" w:sz="0" w:space="0" w:color="auto"/>
        <w:left w:val="none" w:sz="0" w:space="0" w:color="auto"/>
        <w:bottom w:val="none" w:sz="0" w:space="0" w:color="auto"/>
        <w:right w:val="none" w:sz="0" w:space="0" w:color="auto"/>
      </w:divBdr>
    </w:div>
    <w:div w:id="1701854538">
      <w:bodyDiv w:val="1"/>
      <w:marLeft w:val="0"/>
      <w:marRight w:val="0"/>
      <w:marTop w:val="0"/>
      <w:marBottom w:val="0"/>
      <w:divBdr>
        <w:top w:val="none" w:sz="0" w:space="0" w:color="auto"/>
        <w:left w:val="none" w:sz="0" w:space="0" w:color="auto"/>
        <w:bottom w:val="none" w:sz="0" w:space="0" w:color="auto"/>
        <w:right w:val="none" w:sz="0" w:space="0" w:color="auto"/>
      </w:divBdr>
      <w:divsChild>
        <w:div w:id="1649018920">
          <w:marLeft w:val="0"/>
          <w:marRight w:val="0"/>
          <w:marTop w:val="0"/>
          <w:marBottom w:val="0"/>
          <w:divBdr>
            <w:top w:val="none" w:sz="0" w:space="0" w:color="auto"/>
            <w:left w:val="none" w:sz="0" w:space="0" w:color="auto"/>
            <w:bottom w:val="none" w:sz="0" w:space="0" w:color="auto"/>
            <w:right w:val="none" w:sz="0" w:space="0" w:color="auto"/>
          </w:divBdr>
        </w:div>
        <w:div w:id="14885716">
          <w:marLeft w:val="0"/>
          <w:marRight w:val="0"/>
          <w:marTop w:val="0"/>
          <w:marBottom w:val="0"/>
          <w:divBdr>
            <w:top w:val="none" w:sz="0" w:space="0" w:color="auto"/>
            <w:left w:val="none" w:sz="0" w:space="0" w:color="auto"/>
            <w:bottom w:val="none" w:sz="0" w:space="0" w:color="auto"/>
            <w:right w:val="none" w:sz="0" w:space="0" w:color="auto"/>
          </w:divBdr>
        </w:div>
      </w:divsChild>
    </w:div>
    <w:div w:id="1820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Ann Rhea,IBG 106,492-2822,</dc:creator>
  <cp:keywords/>
  <dc:description/>
  <cp:lastModifiedBy>Robin Corley,IBG 214,492-5189,</cp:lastModifiedBy>
  <cp:revision>14</cp:revision>
  <cp:lastPrinted>2016-02-25T21:14:00Z</cp:lastPrinted>
  <dcterms:created xsi:type="dcterms:W3CDTF">2016-03-09T22:39:00Z</dcterms:created>
  <dcterms:modified xsi:type="dcterms:W3CDTF">2016-04-26T18:35:00Z</dcterms:modified>
</cp:coreProperties>
</file>