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rPr>
      </w:pPr>
      <w:r>
        <w:rPr>
          <w:rFonts w:cs="Arial" w:ascii="Arial" w:hAnsi="Arial"/>
          <w:b/>
        </w:rPr>
        <w:t>PLINK PRACTICAL</w:t>
      </w:r>
    </w:p>
    <w:p>
      <w:pPr>
        <w:pStyle w:val="Normal"/>
        <w:pBdr>
          <w:bottom w:val="single" w:sz="6" w:space="1" w:color="000000"/>
        </w:pBdr>
        <w:jc w:val="center"/>
        <w:rPr>
          <w:rFonts w:ascii="Arial" w:hAnsi="Arial" w:cs="Arial"/>
        </w:rPr>
      </w:pPr>
      <w:r>
        <w:rPr>
          <w:rFonts w:cs="Arial" w:ascii="Arial" w:hAnsi="Arial"/>
        </w:rPr>
        <w:t>Tuesday 8am</w:t>
      </w:r>
    </w:p>
    <w:p>
      <w:pPr>
        <w:pStyle w:val="Normal"/>
        <w:rPr>
          <w:rFonts w:ascii="Arial" w:hAnsi="Arial" w:cs="Arial"/>
        </w:rPr>
      </w:pPr>
      <w:r>
        <w:rPr>
          <w:rFonts w:cs="Arial" w:ascii="Arial" w:hAnsi="Arial"/>
        </w:rPr>
      </w:r>
    </w:p>
    <w:tbl>
      <w:tblPr>
        <w:tblStyle w:val="TableGrid"/>
        <w:tblW w:w="9350" w:type="dxa"/>
        <w:jc w:val="left"/>
        <w:tblInd w:w="0" w:type="dxa"/>
        <w:tblCellMar>
          <w:top w:w="0" w:type="dxa"/>
          <w:left w:w="108" w:type="dxa"/>
          <w:bottom w:w="0" w:type="dxa"/>
          <w:right w:w="108" w:type="dxa"/>
        </w:tblCellMar>
        <w:tblLook w:lastRow="0" w:firstRow="1" w:lastColumn="0" w:firstColumn="1" w:val="04a0" w:noHBand="0" w:noVBand="1"/>
      </w:tblPr>
      <w:tblGrid>
        <w:gridCol w:w="9350"/>
      </w:tblGrid>
      <w:tr>
        <w:trPr>
          <w:trHeight w:val="1708" w:hRule="atLeast"/>
        </w:trPr>
        <w:tc>
          <w:tcPr>
            <w:tcW w:w="9350" w:type="dxa"/>
            <w:tcBorders/>
            <w:shd w:fill="auto" w:val="clear"/>
          </w:tcPr>
          <w:p>
            <w:pPr>
              <w:pStyle w:val="Normal"/>
              <w:spacing w:lineRule="auto" w:line="240" w:before="0" w:after="0"/>
              <w:jc w:val="both"/>
              <w:rPr>
                <w:rFonts w:ascii="Arial" w:hAnsi="Arial" w:cs="Arial"/>
              </w:rPr>
            </w:pPr>
            <w:r>
              <w:rPr>
                <w:rFonts w:cs="Arial" w:ascii="Arial" w:hAnsi="Arial"/>
              </w:rPr>
              <w:t>In this practical, we will:</w:t>
            </w:r>
          </w:p>
          <w:p>
            <w:pPr>
              <w:pStyle w:val="ListParagraph"/>
              <w:numPr>
                <w:ilvl w:val="0"/>
                <w:numId w:val="2"/>
              </w:numPr>
              <w:spacing w:lineRule="auto" w:line="240" w:before="0" w:after="0"/>
              <w:contextualSpacing/>
              <w:jc w:val="both"/>
              <w:rPr>
                <w:rFonts w:ascii="Arial" w:hAnsi="Arial" w:cs="Arial"/>
              </w:rPr>
            </w:pPr>
            <w:r>
              <w:rPr>
                <w:rFonts w:cs="Arial" w:ascii="Arial" w:hAnsi="Arial"/>
              </w:rPr>
              <w:t>Learn about genetic relatedness / relationship matrices by estimating one.</w:t>
            </w:r>
          </w:p>
          <w:p>
            <w:pPr>
              <w:pStyle w:val="ListParagraph"/>
              <w:numPr>
                <w:ilvl w:val="0"/>
                <w:numId w:val="2"/>
              </w:numPr>
              <w:spacing w:lineRule="auto" w:line="240" w:before="0" w:after="0"/>
              <w:contextualSpacing/>
              <w:jc w:val="both"/>
              <w:rPr>
                <w:rFonts w:ascii="Arial" w:hAnsi="Arial" w:cs="Arial"/>
              </w:rPr>
            </w:pPr>
            <w:r>
              <w:rPr>
                <w:rFonts w:cs="Arial" w:ascii="Arial" w:hAnsi="Arial"/>
              </w:rPr>
              <w:t>Learn about some concepts and methods from molecular genetic methods.</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This practical will introduce you to Genome Wide Association Study (GWAS) datasets and direct estimations of genetic relatedness using a program called PLINK. PLINK is an open-source GWAS analysis toolset that allows manipulating and analyzing large-scale datasets in an efficient way. </w:t>
      </w:r>
    </w:p>
    <w:p>
      <w:pPr>
        <w:pStyle w:val="Normal"/>
        <w:jc w:val="both"/>
        <w:rPr>
          <w:rFonts w:ascii="Arial" w:hAnsi="Arial" w:cs="Arial"/>
        </w:rPr>
      </w:pPr>
      <w:r>
        <w:rPr>
          <w:rFonts w:cs="Arial" w:ascii="Arial" w:hAnsi="Arial"/>
        </w:rPr>
        <w:t>PLINK includes functions for: data organization, formatting, quality control, association testing, population stratification, and more. Details about PLINK and its documentation are available in the developers’ website: http://zzz.bwh.harvard.edu/plink/</w:t>
      </w:r>
    </w:p>
    <w:p>
      <w:pPr>
        <w:pStyle w:val="Normal"/>
        <w:jc w:val="both"/>
        <w:rPr>
          <w:rFonts w:ascii="Arial" w:hAnsi="Arial" w:cs="Arial"/>
        </w:rPr>
      </w:pPr>
      <w:r>
        <w:rPr>
          <w:rFonts w:cs="Arial" w:ascii="Arial" w:hAnsi="Arial"/>
        </w:rPr>
        <w:t>For this tutorial, we simulated a dataset based on real data made available by Myers et al. The original dataset included only unrelated individuals. We have modified that data to include MZ and DZ twin pairs:</w:t>
      </w:r>
    </w:p>
    <w:p>
      <w:pPr>
        <w:pStyle w:val="Normal"/>
        <w:ind w:firstLine="720"/>
        <w:rPr>
          <w:rFonts w:ascii="Arial" w:hAnsi="Arial" w:cs="Arial"/>
          <w:i/>
          <w:i/>
        </w:rPr>
      </w:pPr>
      <w:r>
        <w:rPr>
          <w:rFonts w:cs="Arial" w:ascii="Arial" w:hAnsi="Arial"/>
          <w:i/>
        </w:rPr>
        <w:t>Myers, A. J., Gibbs, J. R., Webster, J. A., Rohrer, K., Zhao, A., Marlowe, L., ... &amp; Zismann, V. L. (2007). A survey of genetic human cortical gene expression. Nature genetics, 39(12), 1494.</w:t>
      </w:r>
    </w:p>
    <w:p>
      <w:pPr>
        <w:pStyle w:val="Normal"/>
        <w:jc w:val="both"/>
        <w:rPr>
          <w:rFonts w:ascii="Arial" w:hAnsi="Arial" w:cs="Arial"/>
        </w:rPr>
      </w:pPr>
      <w:r>
        <w:rPr>
          <w:rFonts w:cs="Arial" w:ascii="Arial" w:hAnsi="Arial"/>
        </w:rPr>
        <w:t xml:space="preserve">We will use PLINK via the Unix console available in your laptops. You can copy and paste specific commands from this document to your UNIX terminal. </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Consolas" w:hAnsi="Consolas"/>
              </w:rPr>
            </w:pPr>
            <w:r>
              <w:rPr>
                <w:rFonts w:ascii="Consolas" w:hAnsi="Consolas"/>
              </w:rPr>
              <w:t>UNIX terminal commands are shown in a monospaced font inside a box.</w:t>
            </w:r>
          </w:p>
        </w:tc>
      </w:tr>
    </w:tbl>
    <w:p>
      <w:pPr>
        <w:pStyle w:val="Normal"/>
        <w:rPr/>
      </w:pPr>
      <w:r>
        <w:rPr/>
      </w:r>
    </w:p>
    <w:p>
      <w:pPr>
        <w:pStyle w:val="Normal"/>
        <w:rPr/>
      </w:pPr>
      <w:r>
        <w:rPr/>
      </w:r>
    </w:p>
    <w:p>
      <w:pPr>
        <w:pStyle w:val="Normal"/>
        <w:rPr>
          <w:rFonts w:ascii="Arial" w:hAnsi="Arial" w:cs="Arial"/>
          <w:b/>
          <w:b/>
        </w:rPr>
      </w:pPr>
      <w:r>
        <w:rPr>
          <w:rFonts w:cs="Arial" w:ascii="Arial" w:hAnsi="Arial"/>
          <w:b/>
        </w:rPr>
        <w:t>1) Change working directory</w:t>
      </w:r>
    </w:p>
    <w:p>
      <w:pPr>
        <w:pStyle w:val="Normal"/>
        <w:rPr>
          <w:rFonts w:ascii="Arial" w:hAnsi="Arial" w:cs="Arial"/>
        </w:rPr>
      </w:pPr>
      <w:r>
        <w:rPr>
          <w:rFonts w:cs="Arial" w:ascii="Arial" w:hAnsi="Arial"/>
        </w:rPr>
        <w:t>First, open Unix terminal. Then, we need to make sure we are working in the right folder:</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vAlign w:val="center"/>
          </w:tcPr>
          <w:p>
            <w:pPr>
              <w:pStyle w:val="Normal"/>
              <w:spacing w:lineRule="auto" w:line="240" w:before="0" w:after="0"/>
              <w:rPr/>
            </w:pPr>
            <w:r>
              <w:rPr>
                <w:rFonts w:ascii="Consolas" w:hAnsi="Consolas"/>
              </w:rPr>
              <w:t>c</w:t>
            </w:r>
            <w:r>
              <w:rPr>
                <w:rFonts w:ascii="Consolas" w:hAnsi="Consolas"/>
              </w:rPr>
              <w:t>d /</w:t>
            </w:r>
            <w:r>
              <w:rPr>
                <w:rFonts w:ascii="Consolas" w:hAnsi="Consolas"/>
                <w:i w:val="false"/>
                <w:iCs w:val="false"/>
              </w:rPr>
              <w:t>home</w:t>
            </w:r>
            <w:r>
              <w:rPr>
                <w:rFonts w:ascii="Consolas" w:hAnsi="Consolas"/>
                <w:i/>
                <w:iCs/>
              </w:rPr>
              <w:t>/</w:t>
            </w:r>
            <w:r>
              <w:rPr>
                <w:rFonts w:ascii="Consolas" w:hAnsi="Consolas"/>
                <w:i w:val="false"/>
                <w:iCs w:val="false"/>
              </w:rPr>
              <w:t>jose/2020/Tuesday</w:t>
            </w:r>
          </w:p>
        </w:tc>
      </w:tr>
    </w:tbl>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2) Check file format: PLINK-friendly formats (.bed and .ped)</w:t>
      </w:r>
    </w:p>
    <w:p>
      <w:pPr>
        <w:pStyle w:val="Normal"/>
        <w:rPr>
          <w:rFonts w:ascii="Arial" w:hAnsi="Arial" w:cs="Arial"/>
        </w:rPr>
      </w:pPr>
      <w:r>
        <w:rPr>
          <w:rFonts w:cs="Arial" w:ascii="Arial" w:hAnsi="Arial"/>
        </w:rPr>
        <w:t xml:space="preserve">PLINK has preferred file formats. These are PED and BED. PED is the original standard text format for </w:t>
      </w:r>
      <w:r>
        <w:rPr>
          <w:rFonts w:cs="Arial" w:ascii="Arial" w:hAnsi="Arial"/>
          <w:u w:val="single"/>
        </w:rPr>
        <w:t>PED</w:t>
      </w:r>
      <w:r>
        <w:rPr>
          <w:rFonts w:cs="Arial" w:ascii="Arial" w:hAnsi="Arial"/>
        </w:rPr>
        <w:t xml:space="preserve">igree information. By default, it is a human-readable text format (i.e., it makes sense when you open it with a text editor). On the other hand, BED (i.e., a </w:t>
      </w:r>
      <w:r>
        <w:rPr>
          <w:rFonts w:cs="Arial" w:ascii="Arial" w:hAnsi="Arial"/>
          <w:i/>
        </w:rPr>
        <w:t>binary</w:t>
      </w:r>
      <w:r>
        <w:rPr>
          <w:rFonts w:cs="Arial" w:ascii="Arial" w:hAnsi="Arial"/>
        </w:rPr>
        <w:t xml:space="preserve"> PED) is a compressed version of PED, which saves space and speeds up analysis (crucial when working GWAS datasets) but cannot be visualized directly. </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Consolas" w:hAnsi="Consolas"/>
              </w:rPr>
            </w:pPr>
            <w:r>
              <w:rPr>
                <w:rFonts w:ascii="Consolas" w:hAnsi="Consolas"/>
              </w:rPr>
              <w:t>plink --file gwas_plinkdata --make-bed --out gwas_plinkdata</w:t>
            </w:r>
          </w:p>
        </w:tc>
      </w:tr>
    </w:tbl>
    <w:p>
      <w:pPr>
        <w:pStyle w:val="Normal"/>
        <w:rPr>
          <w:rFonts w:ascii="Consolas" w:hAnsi="Consolas"/>
        </w:rPr>
      </w:pPr>
      <w:r>
        <w:rPr>
          <w:rFonts w:ascii="Consolas" w:hAnsi="Consolas"/>
        </w:rPr>
      </w:r>
    </w:p>
    <w:p>
      <w:pPr>
        <w:pStyle w:val="Normal"/>
        <w:rPr>
          <w:rFonts w:ascii="Arial" w:hAnsi="Arial" w:cs="Arial"/>
          <w:b/>
          <w:b/>
        </w:rPr>
      </w:pPr>
      <w:r>
        <w:rPr>
          <w:rFonts w:cs="Arial" w:ascii="Arial" w:hAnsi="Arial"/>
          <w:b/>
        </w:rPr>
        <w:t>3) Clean the data (quality control)</w:t>
      </w:r>
    </w:p>
    <w:p>
      <w:pPr>
        <w:pStyle w:val="Normal"/>
        <w:rPr>
          <w:rFonts w:ascii="Arial" w:hAnsi="Arial" w:cs="Arial"/>
        </w:rPr>
      </w:pPr>
      <w:r>
        <w:rPr>
          <w:rFonts w:cs="Arial" w:ascii="Arial" w:hAnsi="Arial"/>
        </w:rPr>
        <w:t xml:space="preserve">PLINK includes several options to </w:t>
      </w:r>
      <w:r>
        <w:rPr>
          <w:rFonts w:cs="Arial" w:ascii="Arial" w:hAnsi="Arial"/>
          <w:i/>
        </w:rPr>
        <w:t>clean</w:t>
      </w:r>
      <w:r>
        <w:rPr>
          <w:rFonts w:cs="Arial" w:ascii="Arial" w:hAnsi="Arial"/>
        </w:rPr>
        <w:t xml:space="preserve"> genetic data. This means filtering out low quality data or outliers. We are going to run a very basic quality control. In practice, this process would involve looking at more descriptive statistics, graphs, etc. This topic is addressed in depth at the IBG workshop for analyzing GWAS and genome sequence data.</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pPr>
            <w:r>
              <w:rPr>
                <w:rFonts w:ascii="Consolas" w:hAnsi="Consolas"/>
              </w:rPr>
              <w:t>plink --bfile gwas_plinkdata --geno 0.05 --mind 0.05 --hwe 1e-6 --maf 0.1 --make-bed --out gwas_plinkdata_clean</w:t>
            </w:r>
          </w:p>
        </w:tc>
      </w:tr>
    </w:tbl>
    <w:p>
      <w:pPr>
        <w:pStyle w:val="Normal"/>
        <w:rPr>
          <w:rFonts w:ascii="Arial" w:hAnsi="Arial" w:cs="Arial"/>
        </w:rPr>
      </w:pPr>
      <w:r>
        <w:rPr>
          <w:rFonts w:cs="Arial" w:ascii="Arial" w:hAnsi="Arial"/>
        </w:rPr>
      </w:r>
    </w:p>
    <w:p>
      <w:pPr>
        <w:pStyle w:val="Normal"/>
        <w:rPr/>
      </w:pPr>
      <w:r>
        <w:rPr/>
        <w:drawing>
          <wp:inline distT="0" distB="8255" distL="0" distR="5715">
            <wp:extent cx="5937885" cy="323024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937885" cy="3230245"/>
                    </a:xfrm>
                    <a:prstGeom prst="rect">
                      <a:avLst/>
                    </a:prstGeom>
                  </pic:spPr>
                </pic:pic>
              </a:graphicData>
            </a:graphic>
          </wp:inline>
        </w:drawing>
      </w:r>
    </w:p>
    <w:p>
      <w:pPr>
        <w:pStyle w:val="Normal"/>
        <w:rPr>
          <w:rFonts w:ascii="Arial" w:hAnsi="Arial" w:cs="Arial"/>
          <w:b/>
          <w:b/>
        </w:rPr>
      </w:pPr>
      <w:r>
        <w:rPr>
          <w:rFonts w:cs="Arial" w:ascii="Arial" w:hAnsi="Arial"/>
          <w:b/>
        </w:rPr>
        <w:t>4) Estimate the genetic relatedness matrix (GRM)</w:t>
      </w:r>
    </w:p>
    <w:p>
      <w:pPr>
        <w:pStyle w:val="Normal"/>
        <w:rPr>
          <w:rFonts w:ascii="Arial" w:hAnsi="Arial" w:cs="Arial"/>
        </w:rPr>
      </w:pPr>
      <w:r>
        <w:rPr>
          <w:rFonts w:cs="Arial" w:ascii="Arial" w:hAnsi="Arial"/>
        </w:rPr>
        <w:t>We can estimate the genetic relatedness across individuals in our dataset based on their shared genetic variants.</w:t>
      </w:r>
    </w:p>
    <w:p>
      <w:pPr>
        <w:pStyle w:val="ListParagraph"/>
        <w:numPr>
          <w:ilvl w:val="0"/>
          <w:numId w:val="1"/>
        </w:numPr>
        <w:rPr>
          <w:rFonts w:ascii="Arial" w:hAnsi="Arial" w:cs="Arial"/>
          <w:b/>
          <w:b/>
        </w:rPr>
      </w:pPr>
      <w:r>
        <w:rPr>
          <w:rFonts w:cs="Arial" w:ascii="Arial" w:hAnsi="Arial"/>
          <w:b/>
        </w:rPr>
        <w:t>Output style A: genetic relatedness matrix</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Consolas" w:hAnsi="Consolas"/>
              </w:rPr>
            </w:pPr>
            <w:r>
              <w:rPr>
                <w:rFonts w:ascii="Consolas" w:hAnsi="Consolas"/>
              </w:rPr>
              <w:t>plink --bfile gwas_plinkdata_clean --make-rel triangle</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Take a look to the results in Unix…</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Consolas" w:hAnsi="Consolas"/>
              </w:rPr>
            </w:pPr>
            <w:r>
              <w:rPr>
                <w:rFonts w:ascii="Consolas" w:hAnsi="Consolas"/>
              </w:rPr>
              <w:t>zless -S plink.rel</w:t>
            </w:r>
          </w:p>
        </w:tc>
      </w:tr>
    </w:tbl>
    <w:p>
      <w:pPr>
        <w:pStyle w:val="Normal"/>
        <w:rPr>
          <w:rFonts w:ascii="Arial" w:hAnsi="Arial" w:cs="Arial"/>
        </w:rPr>
      </w:pPr>
      <w:r>
        <w:rPr>
          <w:rFonts w:cs="Arial" w:ascii="Arial" w:hAnsi="Arial"/>
        </w:rPr>
        <w:t>Note: Press q to exit view</w:t>
      </w:r>
    </w:p>
    <w:p>
      <w:pPr>
        <w:pStyle w:val="Normal"/>
        <w:rPr>
          <w:rFonts w:ascii="Arial" w:hAnsi="Arial" w:cs="Arial"/>
        </w:rPr>
      </w:pPr>
      <w:r>
        <w:rPr>
          <w:rFonts w:cs="Arial" w:ascii="Arial" w:hAnsi="Arial"/>
        </w:rPr>
        <w:t>This can a bit a tad overwhelming, especially with real life large-datasets. However, our dataset is small enough to take a look to the actual GRM. For the sake of explanation, open the file ‘GRM_highlighted.pdf’. A GRM is symmetric, here we present only the lower triangle. Zoom in to find which individuals are likely to be MZ twins (</w:t>
      </w:r>
      <w:r>
        <w:rPr>
          <w:rFonts w:cs="Arial" w:ascii="Arial" w:hAnsi="Arial"/>
          <w:b/>
          <w:color w:val="385623" w:themeColor="accent6" w:themeShade="80"/>
          <w:highlight w:val="green"/>
        </w:rPr>
        <w:t>in green</w:t>
      </w:r>
      <w:r>
        <w:rPr>
          <w:rFonts w:cs="Arial" w:ascii="Arial" w:hAnsi="Arial"/>
        </w:rPr>
        <w:t>), DZ twins (</w:t>
      </w:r>
      <w:r>
        <w:rPr>
          <w:rFonts w:cs="Arial" w:ascii="Arial" w:hAnsi="Arial"/>
          <w:b/>
          <w:color w:val="000000" w:themeColor="text1"/>
          <w:highlight w:val="red"/>
        </w:rPr>
        <w:t>in red</w:t>
      </w:r>
      <w:r>
        <w:rPr>
          <w:rFonts w:cs="Arial" w:ascii="Arial" w:hAnsi="Arial"/>
        </w:rPr>
        <w:t>), and genetically unrelated (not highlighted). NOTE: genetic relatedness of each individual with themselves appears on the diagonal. Values are not 1 because this is an empirical estimation of relatedness. More on this in Rob’s session on Thursday.</w:t>
      </w:r>
    </w:p>
    <w:p>
      <w:pPr>
        <w:pStyle w:val="ListParagraph"/>
        <w:numPr>
          <w:ilvl w:val="0"/>
          <w:numId w:val="1"/>
        </w:numPr>
        <w:rPr>
          <w:rFonts w:ascii="Arial" w:hAnsi="Arial" w:cs="Arial"/>
          <w:b/>
          <w:b/>
        </w:rPr>
      </w:pPr>
      <w:r>
        <w:rPr>
          <w:rFonts w:cs="Arial" w:ascii="Arial" w:hAnsi="Arial"/>
          <w:b/>
        </w:rPr>
        <w:t>Output style B: relatedness pair by pair</w:t>
      </w:r>
    </w:p>
    <w:p>
      <w:pPr>
        <w:pStyle w:val="Normal"/>
        <w:rPr>
          <w:rFonts w:ascii="Arial" w:hAnsi="Arial" w:cs="Arial"/>
          <w:b/>
          <w:b/>
        </w:rPr>
      </w:pPr>
      <w:r>
        <w:rPr>
          <w:rFonts w:cs="Arial" w:ascii="Arial" w:hAnsi="Arial"/>
        </w:rPr>
        <w:t>Another way to look at genetic relatedness is pair by pair. We can ask PLINK to give us the degree of relatedness and number of overlapping genetic variants for each pair in our dataset.</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Consolas" w:hAnsi="Consolas"/>
              </w:rPr>
            </w:pPr>
            <w:r>
              <w:rPr>
                <w:rFonts w:ascii="Consolas" w:hAnsi="Consolas"/>
              </w:rPr>
              <w:t>plink --bfile gwas_plinkdata_clean -make-grm-gz no-gz</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Take a look to the results in Unix…</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Consolas" w:hAnsi="Consolas"/>
              </w:rPr>
            </w:pPr>
            <w:r>
              <w:rPr>
                <w:rFonts w:ascii="Consolas" w:hAnsi="Consolas"/>
              </w:rPr>
              <w:t>zless –S plink.grm</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The file is structured like this (output from PLINK doesn’t have headers):</w:t>
      </w:r>
    </w:p>
    <w:tbl>
      <w:tblPr>
        <w:tblStyle w:val="TableGrid"/>
        <w:tblW w:w="5928" w:type="dxa"/>
        <w:jc w:val="center"/>
        <w:tblInd w:w="0" w:type="dxa"/>
        <w:tblCellMar>
          <w:top w:w="0" w:type="dxa"/>
          <w:left w:w="108" w:type="dxa"/>
          <w:bottom w:w="0" w:type="dxa"/>
          <w:right w:w="108" w:type="dxa"/>
        </w:tblCellMar>
        <w:tblLook w:noVBand="1" w:val="04a0" w:noHBand="0" w:lastColumn="0" w:firstColumn="1" w:lastRow="0" w:firstRow="1"/>
      </w:tblPr>
      <w:tblGrid>
        <w:gridCol w:w="959"/>
        <w:gridCol w:w="960"/>
        <w:gridCol w:w="1950"/>
        <w:gridCol w:w="2058"/>
      </w:tblGrid>
      <w:tr>
        <w:trPr>
          <w:trHeight w:val="300" w:hRule="atLeast"/>
        </w:trPr>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ID1</w:t>
            </w:r>
          </w:p>
        </w:tc>
        <w:tc>
          <w:tcPr>
            <w:tcW w:w="960" w:type="dxa"/>
            <w:tcBorders/>
            <w:shd w:fill="auto" w:val="clear"/>
            <w:vAlign w:val="center"/>
          </w:tcPr>
          <w:p>
            <w:pPr>
              <w:pStyle w:val="Normal"/>
              <w:spacing w:lineRule="auto" w:line="240" w:before="0" w:after="0"/>
              <w:jc w:val="center"/>
              <w:rPr>
                <w:rFonts w:ascii="Arial" w:hAnsi="Arial" w:cs="Arial"/>
              </w:rPr>
            </w:pPr>
            <w:r>
              <w:rPr>
                <w:rFonts w:cs="Arial" w:ascii="Arial" w:hAnsi="Arial"/>
              </w:rPr>
              <w:t>ID2</w:t>
            </w:r>
          </w:p>
        </w:tc>
        <w:tc>
          <w:tcPr>
            <w:tcW w:w="1950" w:type="dxa"/>
            <w:tcBorders/>
            <w:shd w:fill="auto" w:val="clear"/>
            <w:vAlign w:val="center"/>
          </w:tcPr>
          <w:p>
            <w:pPr>
              <w:pStyle w:val="Normal"/>
              <w:spacing w:lineRule="auto" w:line="240" w:before="0" w:after="0"/>
              <w:jc w:val="center"/>
              <w:rPr>
                <w:rFonts w:ascii="Arial" w:hAnsi="Arial" w:cs="Arial"/>
              </w:rPr>
            </w:pPr>
            <w:r>
              <w:rPr>
                <w:rFonts w:cs="Arial" w:ascii="Arial" w:hAnsi="Arial"/>
              </w:rPr>
              <w:t>common SNPs</w:t>
            </w:r>
          </w:p>
        </w:tc>
        <w:tc>
          <w:tcPr>
            <w:tcW w:w="2058" w:type="dxa"/>
            <w:tcBorders/>
            <w:shd w:fill="auto" w:val="clear"/>
            <w:vAlign w:val="center"/>
          </w:tcPr>
          <w:p>
            <w:pPr>
              <w:pStyle w:val="Normal"/>
              <w:spacing w:lineRule="auto" w:line="240" w:before="0" w:after="0"/>
              <w:jc w:val="center"/>
              <w:rPr>
                <w:rFonts w:ascii="Arial" w:hAnsi="Arial" w:cs="Arial"/>
              </w:rPr>
            </w:pPr>
            <w:r>
              <w:rPr>
                <w:rFonts w:cs="Arial" w:ascii="Arial" w:hAnsi="Arial"/>
              </w:rPr>
              <w:t>gen relatedness</w:t>
            </w:r>
          </w:p>
        </w:tc>
      </w:tr>
      <w:tr>
        <w:trPr>
          <w:trHeight w:val="300" w:hRule="atLeast"/>
        </w:trPr>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1</w:t>
            </w:r>
          </w:p>
        </w:tc>
        <w:tc>
          <w:tcPr>
            <w:tcW w:w="960" w:type="dxa"/>
            <w:tcBorders/>
            <w:shd w:fill="auto" w:val="clear"/>
            <w:vAlign w:val="center"/>
          </w:tcPr>
          <w:p>
            <w:pPr>
              <w:pStyle w:val="Normal"/>
              <w:spacing w:lineRule="auto" w:line="240" w:before="0" w:after="0"/>
              <w:jc w:val="center"/>
              <w:rPr>
                <w:rFonts w:ascii="Arial" w:hAnsi="Arial" w:cs="Arial"/>
              </w:rPr>
            </w:pPr>
            <w:r>
              <w:rPr>
                <w:rFonts w:cs="Arial" w:ascii="Arial" w:hAnsi="Arial"/>
              </w:rPr>
              <w:t>1</w:t>
            </w:r>
          </w:p>
        </w:tc>
        <w:tc>
          <w:tcPr>
            <w:tcW w:w="1950" w:type="dxa"/>
            <w:tcBorders/>
            <w:shd w:fill="auto" w:val="clear"/>
            <w:vAlign w:val="center"/>
          </w:tcPr>
          <w:p>
            <w:pPr>
              <w:pStyle w:val="Normal"/>
              <w:spacing w:lineRule="auto" w:line="240" w:before="0" w:after="0"/>
              <w:jc w:val="center"/>
              <w:rPr>
                <w:rFonts w:ascii="Arial" w:hAnsi="Arial" w:cs="Arial"/>
              </w:rPr>
            </w:pPr>
            <w:r>
              <w:rPr>
                <w:rFonts w:cs="Arial" w:ascii="Arial" w:hAnsi="Arial"/>
              </w:rPr>
              <w:t>251751</w:t>
            </w:r>
          </w:p>
        </w:tc>
        <w:tc>
          <w:tcPr>
            <w:tcW w:w="2058" w:type="dxa"/>
            <w:tcBorders/>
            <w:shd w:fill="auto" w:val="clear"/>
            <w:vAlign w:val="center"/>
          </w:tcPr>
          <w:p>
            <w:pPr>
              <w:pStyle w:val="Normal"/>
              <w:spacing w:lineRule="auto" w:line="240" w:before="0" w:after="0"/>
              <w:jc w:val="center"/>
              <w:rPr>
                <w:rFonts w:ascii="Arial" w:hAnsi="Arial" w:cs="Arial"/>
              </w:rPr>
            </w:pPr>
            <w:r>
              <w:rPr>
                <w:rFonts w:cs="Arial" w:ascii="Arial" w:hAnsi="Arial"/>
              </w:rPr>
              <w:t>0.9945</w:t>
            </w:r>
          </w:p>
        </w:tc>
      </w:tr>
      <w:tr>
        <w:trPr>
          <w:trHeight w:val="300" w:hRule="atLeast"/>
        </w:trPr>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2</w:t>
            </w:r>
          </w:p>
        </w:tc>
        <w:tc>
          <w:tcPr>
            <w:tcW w:w="960" w:type="dxa"/>
            <w:tcBorders/>
            <w:shd w:fill="auto" w:val="clear"/>
            <w:vAlign w:val="center"/>
          </w:tcPr>
          <w:p>
            <w:pPr>
              <w:pStyle w:val="Normal"/>
              <w:spacing w:lineRule="auto" w:line="240" w:before="0" w:after="0"/>
              <w:jc w:val="center"/>
              <w:rPr>
                <w:rFonts w:ascii="Arial" w:hAnsi="Arial" w:cs="Arial"/>
              </w:rPr>
            </w:pPr>
            <w:r>
              <w:rPr>
                <w:rFonts w:cs="Arial" w:ascii="Arial" w:hAnsi="Arial"/>
              </w:rPr>
              <w:t>1</w:t>
            </w:r>
          </w:p>
        </w:tc>
        <w:tc>
          <w:tcPr>
            <w:tcW w:w="1950" w:type="dxa"/>
            <w:tcBorders/>
            <w:shd w:fill="auto" w:val="clear"/>
            <w:vAlign w:val="center"/>
          </w:tcPr>
          <w:p>
            <w:pPr>
              <w:pStyle w:val="Normal"/>
              <w:spacing w:lineRule="auto" w:line="240" w:before="0" w:after="0"/>
              <w:jc w:val="center"/>
              <w:rPr>
                <w:rFonts w:ascii="Arial" w:hAnsi="Arial" w:cs="Arial"/>
              </w:rPr>
            </w:pPr>
            <w:r>
              <w:rPr>
                <w:rFonts w:cs="Arial" w:ascii="Arial" w:hAnsi="Arial"/>
              </w:rPr>
              <w:t>247262</w:t>
            </w:r>
          </w:p>
        </w:tc>
        <w:tc>
          <w:tcPr>
            <w:tcW w:w="2058" w:type="dxa"/>
            <w:tcBorders/>
            <w:shd w:fill="auto" w:val="clear"/>
            <w:vAlign w:val="center"/>
          </w:tcPr>
          <w:p>
            <w:pPr>
              <w:pStyle w:val="Normal"/>
              <w:spacing w:lineRule="auto" w:line="240" w:before="0" w:after="0"/>
              <w:jc w:val="center"/>
              <w:rPr>
                <w:rFonts w:ascii="Arial" w:hAnsi="Arial" w:cs="Arial"/>
              </w:rPr>
            </w:pPr>
            <w:r>
              <w:rPr>
                <w:rFonts w:cs="Arial" w:ascii="Arial" w:hAnsi="Arial"/>
              </w:rPr>
              <w:t>-0.0233</w:t>
            </w:r>
          </w:p>
        </w:tc>
      </w:tr>
      <w:tr>
        <w:trPr>
          <w:trHeight w:val="300" w:hRule="atLeast"/>
        </w:trPr>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2</w:t>
            </w:r>
          </w:p>
        </w:tc>
        <w:tc>
          <w:tcPr>
            <w:tcW w:w="960" w:type="dxa"/>
            <w:tcBorders/>
            <w:shd w:fill="auto" w:val="clear"/>
            <w:vAlign w:val="center"/>
          </w:tcPr>
          <w:p>
            <w:pPr>
              <w:pStyle w:val="Normal"/>
              <w:spacing w:lineRule="auto" w:line="240" w:before="0" w:after="0"/>
              <w:jc w:val="center"/>
              <w:rPr>
                <w:rFonts w:ascii="Arial" w:hAnsi="Arial" w:cs="Arial"/>
              </w:rPr>
            </w:pPr>
            <w:r>
              <w:rPr>
                <w:rFonts w:cs="Arial" w:ascii="Arial" w:hAnsi="Arial"/>
              </w:rPr>
              <w:t>2</w:t>
            </w:r>
          </w:p>
        </w:tc>
        <w:tc>
          <w:tcPr>
            <w:tcW w:w="1950" w:type="dxa"/>
            <w:tcBorders/>
            <w:shd w:fill="auto" w:val="clear"/>
            <w:vAlign w:val="center"/>
          </w:tcPr>
          <w:p>
            <w:pPr>
              <w:pStyle w:val="Normal"/>
              <w:spacing w:lineRule="auto" w:line="240" w:before="0" w:after="0"/>
              <w:jc w:val="center"/>
              <w:rPr>
                <w:rFonts w:ascii="Arial" w:hAnsi="Arial" w:cs="Arial"/>
              </w:rPr>
            </w:pPr>
            <w:r>
              <w:rPr>
                <w:rFonts w:cs="Arial" w:ascii="Arial" w:hAnsi="Arial"/>
              </w:rPr>
              <w:t>247777</w:t>
            </w:r>
          </w:p>
        </w:tc>
        <w:tc>
          <w:tcPr>
            <w:tcW w:w="2058" w:type="dxa"/>
            <w:tcBorders/>
            <w:shd w:fill="auto" w:val="clear"/>
            <w:vAlign w:val="center"/>
          </w:tcPr>
          <w:p>
            <w:pPr>
              <w:pStyle w:val="Normal"/>
              <w:spacing w:lineRule="auto" w:line="240" w:before="0" w:after="0"/>
              <w:jc w:val="center"/>
              <w:rPr>
                <w:rFonts w:ascii="Arial" w:hAnsi="Arial" w:cs="Arial"/>
              </w:rPr>
            </w:pPr>
            <w:r>
              <w:rPr>
                <w:rFonts w:cs="Arial" w:ascii="Arial" w:hAnsi="Arial"/>
              </w:rPr>
              <w:t>1.0011</w:t>
            </w:r>
          </w:p>
        </w:tc>
      </w:tr>
      <w:tr>
        <w:trPr>
          <w:trHeight w:val="300" w:hRule="atLeast"/>
        </w:trPr>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3</w:t>
            </w:r>
          </w:p>
        </w:tc>
        <w:tc>
          <w:tcPr>
            <w:tcW w:w="960" w:type="dxa"/>
            <w:tcBorders/>
            <w:shd w:fill="auto" w:val="clear"/>
            <w:vAlign w:val="center"/>
          </w:tcPr>
          <w:p>
            <w:pPr>
              <w:pStyle w:val="Normal"/>
              <w:spacing w:lineRule="auto" w:line="240" w:before="0" w:after="0"/>
              <w:jc w:val="center"/>
              <w:rPr>
                <w:rFonts w:ascii="Arial" w:hAnsi="Arial" w:cs="Arial"/>
              </w:rPr>
            </w:pPr>
            <w:r>
              <w:rPr>
                <w:rFonts w:cs="Arial" w:ascii="Arial" w:hAnsi="Arial"/>
              </w:rPr>
              <w:t>1</w:t>
            </w:r>
          </w:p>
        </w:tc>
        <w:tc>
          <w:tcPr>
            <w:tcW w:w="1950" w:type="dxa"/>
            <w:tcBorders/>
            <w:shd w:fill="auto" w:val="clear"/>
            <w:vAlign w:val="center"/>
          </w:tcPr>
          <w:p>
            <w:pPr>
              <w:pStyle w:val="Normal"/>
              <w:spacing w:lineRule="auto" w:line="240" w:before="0" w:after="0"/>
              <w:jc w:val="center"/>
              <w:rPr>
                <w:rFonts w:ascii="Arial" w:hAnsi="Arial" w:cs="Arial"/>
              </w:rPr>
            </w:pPr>
            <w:r>
              <w:rPr>
                <w:rFonts w:cs="Arial" w:ascii="Arial" w:hAnsi="Arial"/>
              </w:rPr>
              <w:t>250987</w:t>
            </w:r>
          </w:p>
        </w:tc>
        <w:tc>
          <w:tcPr>
            <w:tcW w:w="2058" w:type="dxa"/>
            <w:tcBorders/>
            <w:shd w:fill="auto" w:val="clear"/>
            <w:vAlign w:val="center"/>
          </w:tcPr>
          <w:p>
            <w:pPr>
              <w:pStyle w:val="Normal"/>
              <w:spacing w:lineRule="auto" w:line="240" w:before="0" w:after="0"/>
              <w:jc w:val="center"/>
              <w:rPr>
                <w:rFonts w:ascii="Arial" w:hAnsi="Arial" w:cs="Arial"/>
              </w:rPr>
            </w:pPr>
            <w:r>
              <w:rPr>
                <w:rFonts w:cs="Arial" w:ascii="Arial" w:hAnsi="Arial"/>
              </w:rPr>
              <w:t>-0.0227</w:t>
            </w:r>
          </w:p>
        </w:tc>
      </w:tr>
      <w:tr>
        <w:trPr>
          <w:trHeight w:val="300" w:hRule="atLeast"/>
        </w:trPr>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3</w:t>
            </w:r>
          </w:p>
        </w:tc>
        <w:tc>
          <w:tcPr>
            <w:tcW w:w="960" w:type="dxa"/>
            <w:tcBorders/>
            <w:shd w:fill="auto" w:val="clear"/>
            <w:vAlign w:val="center"/>
          </w:tcPr>
          <w:p>
            <w:pPr>
              <w:pStyle w:val="Normal"/>
              <w:spacing w:lineRule="auto" w:line="240" w:before="0" w:after="0"/>
              <w:jc w:val="center"/>
              <w:rPr>
                <w:rFonts w:ascii="Arial" w:hAnsi="Arial" w:cs="Arial"/>
              </w:rPr>
            </w:pPr>
            <w:r>
              <w:rPr>
                <w:rFonts w:cs="Arial" w:ascii="Arial" w:hAnsi="Arial"/>
              </w:rPr>
              <w:t>2</w:t>
            </w:r>
          </w:p>
        </w:tc>
        <w:tc>
          <w:tcPr>
            <w:tcW w:w="1950" w:type="dxa"/>
            <w:tcBorders/>
            <w:shd w:fill="auto" w:val="clear"/>
            <w:vAlign w:val="center"/>
          </w:tcPr>
          <w:p>
            <w:pPr>
              <w:pStyle w:val="Normal"/>
              <w:spacing w:lineRule="auto" w:line="240" w:before="0" w:after="0"/>
              <w:jc w:val="center"/>
              <w:rPr>
                <w:rFonts w:ascii="Arial" w:hAnsi="Arial" w:cs="Arial"/>
              </w:rPr>
            </w:pPr>
            <w:r>
              <w:rPr>
                <w:rFonts w:cs="Arial" w:ascii="Arial" w:hAnsi="Arial"/>
              </w:rPr>
              <w:t>247011</w:t>
            </w:r>
          </w:p>
        </w:tc>
        <w:tc>
          <w:tcPr>
            <w:tcW w:w="2058" w:type="dxa"/>
            <w:tcBorders/>
            <w:shd w:fill="auto" w:val="clear"/>
            <w:vAlign w:val="center"/>
          </w:tcPr>
          <w:p>
            <w:pPr>
              <w:pStyle w:val="Normal"/>
              <w:spacing w:lineRule="auto" w:line="240" w:before="0" w:after="0"/>
              <w:jc w:val="center"/>
              <w:rPr>
                <w:rFonts w:ascii="Arial" w:hAnsi="Arial" w:cs="Arial"/>
              </w:rPr>
            </w:pPr>
            <w:r>
              <w:rPr>
                <w:rFonts w:cs="Arial" w:ascii="Arial" w:hAnsi="Arial"/>
              </w:rPr>
              <w:t>-0.0209</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Again, our small dataset comes handy and we can easily look at the output. Open the file ‘grel_highlighted.xls’. Pairs likely to be MZ twins </w:t>
      </w:r>
      <w:r>
        <w:rPr>
          <w:rFonts w:cs="Arial" w:ascii="Arial" w:hAnsi="Arial"/>
          <w:b/>
          <w:color w:val="385623" w:themeColor="accent6" w:themeShade="80"/>
          <w:highlight w:val="green"/>
        </w:rPr>
        <w:t>in green</w:t>
      </w:r>
      <w:r>
        <w:rPr>
          <w:rFonts w:cs="Arial" w:ascii="Arial" w:hAnsi="Arial"/>
        </w:rPr>
        <w:t xml:space="preserve">, DZ twins </w:t>
      </w:r>
      <w:r>
        <w:rPr>
          <w:rFonts w:cs="Arial" w:ascii="Arial" w:hAnsi="Arial"/>
          <w:b/>
          <w:color w:val="000000" w:themeColor="text1"/>
          <w:highlight w:val="red"/>
        </w:rPr>
        <w:t>in red</w:t>
      </w:r>
      <w:r>
        <w:rPr>
          <w:rFonts w:cs="Arial" w:ascii="Arial" w:hAnsi="Arial"/>
        </w:rPr>
        <w:t>, and unrelated not highlighted.</w:t>
      </w:r>
    </w:p>
    <w:p>
      <w:pPr>
        <w:pStyle w:val="Normal"/>
        <w:rPr>
          <w:rFonts w:ascii="Arial" w:hAnsi="Arial" w:cs="Arial"/>
          <w:b/>
          <w:b/>
        </w:rPr>
      </w:pPr>
      <w:r>
        <w:rPr>
          <w:rFonts w:cs="Arial" w:ascii="Arial" w:hAnsi="Arial"/>
          <w:b/>
        </w:rPr>
        <w:t>In summary,</w:t>
      </w:r>
    </w:p>
    <w:p>
      <w:pPr>
        <w:pStyle w:val="ListParagraph"/>
        <w:numPr>
          <w:ilvl w:val="0"/>
          <w:numId w:val="1"/>
        </w:numPr>
        <w:rPr>
          <w:rFonts w:ascii="Arial" w:hAnsi="Arial" w:cs="Arial"/>
        </w:rPr>
      </w:pPr>
      <w:r>
        <w:rPr>
          <w:rFonts w:cs="Arial" w:ascii="Arial" w:hAnsi="Arial"/>
        </w:rPr>
        <w:t>Genotype data allow us to directly estimate the degree of genetic relatedness across individuals.</w:t>
      </w:r>
    </w:p>
    <w:p>
      <w:pPr>
        <w:pStyle w:val="ListParagraph"/>
        <w:numPr>
          <w:ilvl w:val="0"/>
          <w:numId w:val="1"/>
        </w:numPr>
        <w:rPr>
          <w:rFonts w:ascii="Arial" w:hAnsi="Arial" w:cs="Arial"/>
        </w:rPr>
      </w:pPr>
      <w:r>
        <w:rPr>
          <w:rFonts w:cs="Arial" w:ascii="Arial" w:hAnsi="Arial"/>
        </w:rPr>
        <w:t>A genetic relatedness (/relationship) matrix contains degree of genetic similarity between individuals.</w:t>
      </w:r>
    </w:p>
    <w:p>
      <w:pPr>
        <w:pStyle w:val="Normal"/>
        <w:widowControl/>
        <w:bidi w:val="0"/>
        <w:spacing w:lineRule="auto" w:line="480" w:before="0" w:after="160"/>
        <w:jc w:val="left"/>
        <w:rPr/>
      </w:pPr>
      <w:r>
        <w:rPr>
          <w:rFonts w:cs="Arial" w:ascii="Arial" w:hAnsi="Arial"/>
        </w:rPr>
        <w:t xml:space="preserve">This concludes this tutorial! </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 w:name="Arial">
    <w:charset w:val="01"/>
    <w:family w:val="roman"/>
    <w:pitch w:val="variable"/>
  </w:font>
  <w:font w:name="Consola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6a6a"/>
    <w:pPr>
      <w:widowControl/>
      <w:bidi w:val="0"/>
      <w:spacing w:lineRule="auto" w:line="480" w:before="0" w:after="160"/>
      <w:jc w:val="left"/>
    </w:pPr>
    <w:rPr>
      <w:rFonts w:ascii="Times New Roman" w:hAnsi="Times New Roman" w:eastAsia="Calibri" w:cs="" w:cstheme="minorBidi" w:eastAsiaTheme="minorHAnsi"/>
      <w:color w:val="auto"/>
      <w:kern w:val="0"/>
      <w:sz w:val="24"/>
      <w:szCs w:val="22"/>
      <w:lang w:val="en-US" w:eastAsia="en-US" w:bidi="ar-SA"/>
    </w:rPr>
  </w:style>
  <w:style w:type="paragraph" w:styleId="Heading1">
    <w:name w:val="Heading 1"/>
    <w:basedOn w:val="Normal"/>
    <w:next w:val="Normal"/>
    <w:link w:val="Heading1Char"/>
    <w:uiPriority w:val="9"/>
    <w:qFormat/>
    <w:rsid w:val="00f66a6a"/>
    <w:pPr>
      <w:keepNext w:val="true"/>
      <w:keepLines/>
      <w:spacing w:before="240" w:after="0"/>
      <w:outlineLvl w:val="0"/>
    </w:pPr>
    <w:rPr>
      <w:rFonts w:eastAsia="" w:cs="" w:cstheme="majorBidi" w:eastAsiaTheme="majorEastAsia"/>
      <w:color w:val="800000"/>
      <w:sz w:val="32"/>
      <w:szCs w:val="32"/>
    </w:rPr>
  </w:style>
  <w:style w:type="paragraph" w:styleId="Heading2">
    <w:name w:val="Heading 2"/>
    <w:basedOn w:val="Normal"/>
    <w:next w:val="Normal"/>
    <w:link w:val="Heading2Char"/>
    <w:uiPriority w:val="9"/>
    <w:semiHidden/>
    <w:unhideWhenUsed/>
    <w:qFormat/>
    <w:rsid w:val="00f66a6a"/>
    <w:pPr>
      <w:keepNext w:val="true"/>
      <w:keepLines/>
      <w:spacing w:before="40" w:after="0"/>
      <w:outlineLvl w:val="1"/>
    </w:pPr>
    <w:rPr>
      <w:rFonts w:ascii="Calibri Light" w:hAnsi="Calibri Light" w:eastAsia="" w:cs="" w:asciiTheme="majorHAnsi" w:cstheme="majorBidi" w:eastAsiaTheme="majorEastAsia" w:hAnsiTheme="majorHAnsi"/>
      <w:color w:val="800000"/>
      <w:sz w:val="26"/>
      <w:szCs w:val="26"/>
    </w:rPr>
  </w:style>
  <w:style w:type="character" w:styleId="DefaultParagraphFont" w:default="1">
    <w:name w:val="Default Paragraph Font"/>
    <w:uiPriority w:val="1"/>
    <w:unhideWhenUsed/>
    <w:qFormat/>
    <w:rPr/>
  </w:style>
  <w:style w:type="character" w:styleId="Heading1Char" w:customStyle="1">
    <w:name w:val="Heading 1 Char"/>
    <w:basedOn w:val="DefaultParagraphFont"/>
    <w:link w:val="Heading1"/>
    <w:uiPriority w:val="9"/>
    <w:qFormat/>
    <w:rsid w:val="00f66a6a"/>
    <w:rPr>
      <w:rFonts w:ascii="Times New Roman" w:hAnsi="Times New Roman" w:eastAsia="" w:cs="" w:cstheme="majorBidi" w:eastAsiaTheme="majorEastAsia"/>
      <w:color w:val="800000"/>
      <w:sz w:val="32"/>
      <w:szCs w:val="32"/>
    </w:rPr>
  </w:style>
  <w:style w:type="character" w:styleId="Heading2Char" w:customStyle="1">
    <w:name w:val="Heading 2 Char"/>
    <w:basedOn w:val="DefaultParagraphFont"/>
    <w:link w:val="Heading2"/>
    <w:uiPriority w:val="9"/>
    <w:semiHidden/>
    <w:qFormat/>
    <w:rsid w:val="00f66a6a"/>
    <w:rPr>
      <w:rFonts w:ascii="Calibri Light" w:hAnsi="Calibri Light" w:eastAsia="" w:cs="" w:asciiTheme="majorHAnsi" w:cstheme="majorBidi" w:eastAsiaTheme="majorEastAsia" w:hAnsiTheme="majorHAnsi"/>
      <w:color w:val="800000"/>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f6e0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94d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LibreOffice/6.1.5.2$Linux_X86_64 LibreOffice_project/10$Build-2</Application>
  <Pages>5</Pages>
  <Words>725</Words>
  <Characters>3783</Characters>
  <CharactersWithSpaces>4430</CharactersWithSpaces>
  <Paragraphs>64</Paragraphs>
  <Company>QIMR Berghofer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2020-03-03T06:02:00Z</dcterms:created>
  <dc:creator>Jose Morosoli Garcia</dc:creator>
  <dc:description/>
  <dc:language>en-US</dc:language>
  <cp:lastModifiedBy/>
  <dcterms:modified xsi:type="dcterms:W3CDTF">2020-03-03T07:36:44Z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QIMR Berghofer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