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A7" w:rsidRDefault="006E39A7" w:rsidP="006E39A7">
      <w:pPr>
        <w:rPr>
          <w:rFonts w:ascii="Garamond" w:hAnsi="Garamond"/>
          <w:color w:val="000000"/>
          <w:sz w:val="24"/>
          <w:szCs w:val="24"/>
        </w:rPr>
      </w:pPr>
      <w:r>
        <w:rPr>
          <w:rFonts w:ascii="Garamond" w:hAnsi="Garamond"/>
          <w:color w:val="000000"/>
          <w:sz w:val="24"/>
          <w:szCs w:val="24"/>
        </w:rPr>
        <w:t>Dear colleague,</w:t>
      </w:r>
    </w:p>
    <w:p w:rsidR="006E39A7" w:rsidRDefault="006E39A7" w:rsidP="006E39A7">
      <w:pPr>
        <w:pStyle w:val="NormalWeb"/>
        <w:rPr>
          <w:rFonts w:ascii="Garamond" w:hAnsi="Garamond"/>
          <w:color w:val="000000"/>
        </w:rPr>
      </w:pPr>
    </w:p>
    <w:p w:rsidR="006E39A7" w:rsidRDefault="006E39A7" w:rsidP="006E39A7">
      <w:pPr>
        <w:pStyle w:val="NormalWeb"/>
        <w:rPr>
          <w:rFonts w:ascii="Garamond" w:hAnsi="Garamond"/>
          <w:color w:val="000000"/>
        </w:rPr>
      </w:pPr>
      <w:r>
        <w:rPr>
          <w:rFonts w:ascii="Garamond" w:hAnsi="Garamond"/>
          <w:color w:val="000000"/>
        </w:rPr>
        <w:t>We would like to bring to your attention the following two articles that might contain useful recommendations for the analysis of family-based samples. The first one is:</w:t>
      </w:r>
    </w:p>
    <w:p w:rsidR="006E39A7" w:rsidRDefault="006E39A7" w:rsidP="006E39A7">
      <w:pPr>
        <w:pStyle w:val="NormalWeb"/>
        <w:rPr>
          <w:rFonts w:ascii="Garamond" w:hAnsi="Garamond"/>
          <w:color w:val="000000"/>
          <w:lang w:val="en-GB"/>
        </w:rPr>
      </w:pPr>
      <w:r>
        <w:rPr>
          <w:rFonts w:ascii="Garamond" w:hAnsi="Garamond"/>
          <w:b/>
          <w:bCs/>
          <w:color w:val="000000"/>
          <w:lang w:val="en-GB"/>
        </w:rPr>
        <w:t>Sandwich corrected standard errors in family-based genome-wide association studies</w:t>
      </w:r>
      <w:r>
        <w:rPr>
          <w:rFonts w:ascii="Garamond" w:hAnsi="Garamond"/>
          <w:color w:val="000000"/>
          <w:lang w:val="en-GB"/>
        </w:rPr>
        <w:t xml:space="preserve"> (attached, also available here: </w:t>
      </w:r>
      <w:hyperlink r:id="rId5" w:history="1">
        <w:r>
          <w:rPr>
            <w:rStyle w:val="Hyperlink"/>
            <w:rFonts w:ascii="Garamond" w:hAnsi="Garamond"/>
          </w:rPr>
          <w:t>http://www.tweelingenregister.org/nederlands/verslaggeving/NTR-publicaties_2014/Minica_EJHG_2014_epub.pdf</w:t>
        </w:r>
      </w:hyperlink>
      <w:r>
        <w:rPr>
          <w:rFonts w:ascii="Garamond" w:hAnsi="Garamond"/>
          <w:color w:val="000000"/>
        </w:rPr>
        <w:t>)</w:t>
      </w:r>
    </w:p>
    <w:p w:rsidR="006E39A7" w:rsidRDefault="006E39A7" w:rsidP="006E39A7">
      <w:pPr>
        <w:pStyle w:val="NormalWeb"/>
        <w:rPr>
          <w:rFonts w:ascii="Garamond" w:hAnsi="Garamond"/>
          <w:color w:val="000000"/>
          <w:sz w:val="20"/>
          <w:szCs w:val="20"/>
          <w:lang w:val="en-GB"/>
        </w:rPr>
      </w:pPr>
    </w:p>
    <w:p w:rsidR="006E39A7" w:rsidRDefault="006E39A7" w:rsidP="006E39A7">
      <w:pPr>
        <w:pStyle w:val="NormalWeb"/>
        <w:rPr>
          <w:rFonts w:ascii="Garamond" w:hAnsi="Garamond"/>
          <w:color w:val="000000"/>
          <w:lang w:val="en-GB"/>
        </w:rPr>
      </w:pPr>
      <w:r>
        <w:rPr>
          <w:rFonts w:ascii="Garamond" w:hAnsi="Garamond"/>
          <w:color w:val="000000"/>
          <w:lang w:val="en-GB"/>
        </w:rPr>
        <w:t>The paper answers the following practical question: Which is the most powerful procedure in conducting a family-based GWAS? </w:t>
      </w:r>
    </w:p>
    <w:p w:rsidR="006E39A7" w:rsidRDefault="006E39A7" w:rsidP="006E39A7">
      <w:pPr>
        <w:pStyle w:val="NormalWeb"/>
        <w:rPr>
          <w:rFonts w:ascii="Garamond" w:hAnsi="Garamond"/>
          <w:color w:val="000000"/>
          <w:sz w:val="20"/>
          <w:szCs w:val="20"/>
          <w:lang w:val="en-GB"/>
        </w:rPr>
      </w:pPr>
    </w:p>
    <w:p w:rsidR="006E39A7" w:rsidRDefault="006E39A7" w:rsidP="006E39A7">
      <w:pPr>
        <w:pStyle w:val="NormalWeb"/>
        <w:rPr>
          <w:rFonts w:ascii="Garamond" w:hAnsi="Garamond"/>
          <w:color w:val="000000"/>
          <w:lang w:val="en-GB"/>
        </w:rPr>
      </w:pPr>
      <w:r>
        <w:rPr>
          <w:rFonts w:ascii="Garamond" w:hAnsi="Garamond"/>
          <w:color w:val="000000"/>
          <w:lang w:val="en-GB"/>
        </w:rPr>
        <w:t xml:space="preserve">We compared several analytic strategies currently implemented in the GWAS-dedicated software (Plink, GCTA, </w:t>
      </w:r>
      <w:proofErr w:type="spellStart"/>
      <w:r>
        <w:rPr>
          <w:rFonts w:ascii="Garamond" w:hAnsi="Garamond"/>
          <w:color w:val="000000"/>
          <w:lang w:val="en-GB"/>
        </w:rPr>
        <w:t>FaSTLMM</w:t>
      </w:r>
      <w:proofErr w:type="spellEnd"/>
      <w:r>
        <w:rPr>
          <w:rFonts w:ascii="Garamond" w:hAnsi="Garamond"/>
          <w:color w:val="000000"/>
          <w:lang w:val="en-GB"/>
        </w:rPr>
        <w:t xml:space="preserve">, EMMAX, </w:t>
      </w:r>
      <w:proofErr w:type="gramStart"/>
      <w:r>
        <w:rPr>
          <w:rFonts w:ascii="Garamond" w:hAnsi="Garamond"/>
          <w:color w:val="000000"/>
          <w:lang w:val="en-GB"/>
        </w:rPr>
        <w:t>Merlin</w:t>
      </w:r>
      <w:proofErr w:type="gramEnd"/>
      <w:r>
        <w:rPr>
          <w:rFonts w:ascii="Garamond" w:hAnsi="Garamond"/>
          <w:color w:val="000000"/>
          <w:lang w:val="en-GB"/>
        </w:rPr>
        <w:t>).</w:t>
      </w:r>
    </w:p>
    <w:p w:rsidR="006E39A7" w:rsidRDefault="006E39A7" w:rsidP="006E39A7">
      <w:pPr>
        <w:pStyle w:val="NormalWeb"/>
        <w:rPr>
          <w:rFonts w:ascii="Garamond" w:hAnsi="Garamond"/>
          <w:color w:val="000000"/>
          <w:sz w:val="20"/>
          <w:szCs w:val="20"/>
          <w:lang w:val="en-GB"/>
        </w:rPr>
      </w:pPr>
      <w:r>
        <w:rPr>
          <w:rFonts w:ascii="Garamond" w:hAnsi="Garamond"/>
          <w:color w:val="000000"/>
          <w:lang w:val="en-GB"/>
        </w:rPr>
        <w:t xml:space="preserve">We found that the efficiency of family-based analyses depends critically on the choice of the model for the familial covariance matrix. </w:t>
      </w:r>
      <w:r>
        <w:rPr>
          <w:rFonts w:ascii="Garamond" w:hAnsi="Garamond"/>
          <w:color w:val="000000"/>
        </w:rPr>
        <w:t>Families might be highly variable in size and composition, hence full correct modeling</w:t>
      </w:r>
      <w:proofErr w:type="gramStart"/>
      <w:r>
        <w:rPr>
          <w:rFonts w:ascii="Garamond" w:hAnsi="Garamond"/>
          <w:color w:val="000000"/>
        </w:rPr>
        <w:t>  of</w:t>
      </w:r>
      <w:proofErr w:type="gramEnd"/>
      <w:r>
        <w:rPr>
          <w:rFonts w:ascii="Garamond" w:hAnsi="Garamond"/>
          <w:color w:val="000000"/>
        </w:rPr>
        <w:t xml:space="preserve"> the conditional covariance matrix can be complicated and subject to misspecification. </w:t>
      </w:r>
    </w:p>
    <w:p w:rsidR="006E39A7" w:rsidRDefault="006E39A7" w:rsidP="006E39A7">
      <w:pPr>
        <w:pStyle w:val="NormalWeb"/>
        <w:rPr>
          <w:rFonts w:ascii="Garamond" w:hAnsi="Garamond"/>
          <w:color w:val="000000"/>
          <w:lang w:val="en-GB"/>
        </w:rPr>
      </w:pPr>
      <w:r>
        <w:rPr>
          <w:rFonts w:ascii="Garamond" w:hAnsi="Garamond"/>
          <w:color w:val="000000"/>
        </w:rPr>
        <w:t xml:space="preserve">We show that choosing a simpler model for the background (AE or CE) and using a sandwich </w:t>
      </w:r>
      <w:r w:rsidR="008658D9">
        <w:rPr>
          <w:rFonts w:ascii="Garamond" w:hAnsi="Garamond"/>
          <w:color w:val="000000"/>
        </w:rPr>
        <w:t>correction is an efficient and </w:t>
      </w:r>
      <w:bookmarkStart w:id="0" w:name="_GoBack"/>
      <w:bookmarkEnd w:id="0"/>
      <w:r>
        <w:rPr>
          <w:rFonts w:ascii="Garamond" w:hAnsi="Garamond"/>
          <w:color w:val="000000"/>
        </w:rPr>
        <w:t xml:space="preserve">computationally feasible analytic strategy. An example with annotated scripts for conducting such an analysis </w:t>
      </w:r>
      <w:r>
        <w:rPr>
          <w:rFonts w:ascii="Garamond" w:hAnsi="Garamond"/>
          <w:color w:val="000000"/>
          <w:lang w:val="en-GB"/>
        </w:rPr>
        <w:t xml:space="preserve">is available at </w:t>
      </w:r>
      <w:hyperlink r:id="rId6" w:history="1">
        <w:r>
          <w:rPr>
            <w:rStyle w:val="Hyperlink"/>
            <w:rFonts w:ascii="Garamond" w:hAnsi="Garamond"/>
            <w:lang w:val="en-GB"/>
          </w:rPr>
          <w:t>http://cameliaminica.nl/scripts.php</w:t>
        </w:r>
      </w:hyperlink>
    </w:p>
    <w:p w:rsidR="006E39A7" w:rsidRDefault="006E39A7" w:rsidP="006E39A7">
      <w:pPr>
        <w:pStyle w:val="NormalWeb"/>
        <w:rPr>
          <w:rFonts w:ascii="Garamond" w:hAnsi="Garamond"/>
          <w:color w:val="000000"/>
          <w:sz w:val="20"/>
          <w:szCs w:val="20"/>
        </w:rPr>
      </w:pPr>
    </w:p>
    <w:p w:rsidR="006E39A7" w:rsidRDefault="006E39A7" w:rsidP="006E39A7">
      <w:pPr>
        <w:pStyle w:val="NormalWeb"/>
        <w:rPr>
          <w:rFonts w:ascii="Garamond" w:hAnsi="Garamond"/>
          <w:color w:val="000000"/>
        </w:rPr>
      </w:pPr>
      <w:r>
        <w:rPr>
          <w:rFonts w:ascii="Garamond" w:hAnsi="Garamond"/>
          <w:color w:val="000000"/>
        </w:rPr>
        <w:t>The focus of this article is on family-based Genome-Wide Association Studies. However the analytic strategies we discuss are regression based approaches, hence,</w:t>
      </w:r>
      <w:proofErr w:type="gramStart"/>
      <w:r>
        <w:rPr>
          <w:rFonts w:ascii="Garamond" w:hAnsi="Garamond"/>
          <w:color w:val="000000"/>
        </w:rPr>
        <w:t>  relevant</w:t>
      </w:r>
      <w:proofErr w:type="gramEnd"/>
      <w:r>
        <w:rPr>
          <w:rFonts w:ascii="Garamond" w:hAnsi="Garamond"/>
          <w:color w:val="000000"/>
        </w:rPr>
        <w:t xml:space="preserve"> for any analysis involving family-data (i.e., the predictor can be a genetic variant, a polygenic score, or any other covariate one might be interested in). </w:t>
      </w:r>
    </w:p>
    <w:p w:rsidR="006E39A7" w:rsidRDefault="006E39A7" w:rsidP="006E39A7">
      <w:pPr>
        <w:pStyle w:val="NormalWeb"/>
        <w:rPr>
          <w:rFonts w:ascii="Garamond" w:hAnsi="Garamond"/>
          <w:b/>
          <w:bCs/>
          <w:color w:val="000000"/>
          <w:sz w:val="20"/>
          <w:szCs w:val="20"/>
        </w:rPr>
      </w:pPr>
    </w:p>
    <w:p w:rsidR="006E39A7" w:rsidRDefault="006E39A7" w:rsidP="006E39A7">
      <w:pPr>
        <w:pStyle w:val="NormalWeb"/>
        <w:rPr>
          <w:rFonts w:ascii="Garamond" w:hAnsi="Garamond"/>
          <w:color w:val="000000"/>
        </w:rPr>
      </w:pPr>
      <w:r>
        <w:rPr>
          <w:rFonts w:ascii="Garamond" w:hAnsi="Garamond"/>
          <w:color w:val="000000"/>
        </w:rPr>
        <w:t>The second article is:</w:t>
      </w:r>
    </w:p>
    <w:p w:rsidR="006E39A7" w:rsidRDefault="006E39A7" w:rsidP="006E39A7">
      <w:pPr>
        <w:pStyle w:val="NormalWeb"/>
        <w:rPr>
          <w:rFonts w:ascii="Garamond" w:hAnsi="Garamond"/>
          <w:b/>
          <w:bCs/>
          <w:color w:val="000000"/>
        </w:rPr>
      </w:pPr>
      <w:proofErr w:type="gramStart"/>
      <w:r>
        <w:rPr>
          <w:rFonts w:ascii="Garamond" w:hAnsi="Garamond"/>
          <w:b/>
          <w:bCs/>
          <w:color w:val="000000"/>
        </w:rPr>
        <w:t>MZ twins or MZ singletons in population family-based GWAS?</w:t>
      </w:r>
      <w:proofErr w:type="gramEnd"/>
      <w:r>
        <w:rPr>
          <w:rFonts w:ascii="Garamond" w:hAnsi="Garamond"/>
          <w:b/>
          <w:bCs/>
          <w:color w:val="000000"/>
        </w:rPr>
        <w:t xml:space="preserve"> More power in pairs. </w:t>
      </w:r>
      <w:r>
        <w:rPr>
          <w:rFonts w:ascii="Garamond" w:hAnsi="Garamond"/>
          <w:color w:val="000000"/>
        </w:rPr>
        <w:t>(</w:t>
      </w:r>
      <w:proofErr w:type="gramStart"/>
      <w:r>
        <w:rPr>
          <w:rFonts w:ascii="Garamond" w:hAnsi="Garamond"/>
          <w:color w:val="000000"/>
        </w:rPr>
        <w:t>attached</w:t>
      </w:r>
      <w:proofErr w:type="gramEnd"/>
      <w:r>
        <w:rPr>
          <w:rFonts w:ascii="Garamond" w:hAnsi="Garamond"/>
          <w:color w:val="000000"/>
        </w:rPr>
        <w:t xml:space="preserve">, also available here: </w:t>
      </w:r>
      <w:hyperlink r:id="rId7" w:history="1">
        <w:r>
          <w:rPr>
            <w:rStyle w:val="Hyperlink"/>
            <w:rFonts w:ascii="Garamond" w:hAnsi="Garamond"/>
          </w:rPr>
          <w:t>http://www.tweelingenregister.org/nederlands/verslaggeving/NTR-publicaties_2014/Minica_MP_2014_epub.pdf</w:t>
        </w:r>
      </w:hyperlink>
      <w:r>
        <w:rPr>
          <w:rFonts w:ascii="Garamond" w:hAnsi="Garamond"/>
          <w:color w:val="000000"/>
        </w:rPr>
        <w:t>)</w:t>
      </w:r>
    </w:p>
    <w:p w:rsidR="006E39A7" w:rsidRDefault="006E39A7" w:rsidP="006E39A7">
      <w:pPr>
        <w:pStyle w:val="NormalWeb"/>
        <w:rPr>
          <w:rFonts w:ascii="Garamond" w:hAnsi="Garamond"/>
          <w:color w:val="000000"/>
          <w:sz w:val="20"/>
          <w:szCs w:val="20"/>
        </w:rPr>
      </w:pPr>
    </w:p>
    <w:p w:rsidR="006E39A7" w:rsidRDefault="006E39A7" w:rsidP="006E39A7">
      <w:pPr>
        <w:pStyle w:val="NormalWeb"/>
        <w:rPr>
          <w:rFonts w:ascii="Garamond" w:hAnsi="Garamond"/>
          <w:color w:val="000000"/>
          <w:lang w:val="en-GB"/>
        </w:rPr>
      </w:pPr>
      <w:r>
        <w:rPr>
          <w:rFonts w:ascii="Garamond" w:hAnsi="Garamond"/>
          <w:color w:val="000000"/>
        </w:rPr>
        <w:t xml:space="preserve">Occasionally </w:t>
      </w:r>
      <w:r>
        <w:rPr>
          <w:rFonts w:ascii="Garamond" w:hAnsi="Garamond"/>
          <w:color w:val="000000"/>
          <w:lang w:val="en-GB"/>
        </w:rPr>
        <w:t>in family-based GWAS, including monozygotic (MZ) twins, the data from one MZ twin are dropped, thus reducing the MZ pairs to singletons. We show that retaining data from both MZ twins does not affect type I error rate and reducing MZ pairs to singletons results in a loss of power.</w:t>
      </w:r>
    </w:p>
    <w:p w:rsidR="006E39A7" w:rsidRDefault="006E39A7" w:rsidP="006E39A7">
      <w:pPr>
        <w:rPr>
          <w:rFonts w:ascii="Garamond" w:hAnsi="Garamond"/>
          <w:color w:val="000000"/>
          <w:sz w:val="24"/>
          <w:szCs w:val="24"/>
          <w:lang w:val="en-GB"/>
        </w:rPr>
      </w:pPr>
    </w:p>
    <w:p w:rsidR="006E39A7" w:rsidRDefault="006E39A7" w:rsidP="006E39A7">
      <w:pPr>
        <w:rPr>
          <w:rFonts w:ascii="Garamond" w:hAnsi="Garamond"/>
          <w:color w:val="000000"/>
          <w:sz w:val="24"/>
          <w:szCs w:val="24"/>
        </w:rPr>
      </w:pPr>
      <w:r>
        <w:rPr>
          <w:rFonts w:ascii="Garamond" w:hAnsi="Garamond"/>
          <w:color w:val="000000"/>
          <w:sz w:val="24"/>
          <w:szCs w:val="24"/>
        </w:rPr>
        <w:t>I hope this information is useful.</w:t>
      </w:r>
    </w:p>
    <w:p w:rsidR="006E39A7" w:rsidRDefault="006E39A7" w:rsidP="006E39A7">
      <w:pPr>
        <w:rPr>
          <w:rFonts w:ascii="Garamond" w:hAnsi="Garamond"/>
          <w:color w:val="000000"/>
          <w:sz w:val="24"/>
          <w:szCs w:val="24"/>
        </w:rPr>
      </w:pPr>
    </w:p>
    <w:p w:rsidR="006E39A7" w:rsidRDefault="006E39A7" w:rsidP="006E39A7">
      <w:pPr>
        <w:rPr>
          <w:rFonts w:ascii="Garamond" w:hAnsi="Garamond"/>
          <w:color w:val="000000"/>
          <w:sz w:val="24"/>
          <w:szCs w:val="24"/>
        </w:rPr>
      </w:pPr>
      <w:proofErr w:type="gramStart"/>
      <w:r>
        <w:rPr>
          <w:rFonts w:ascii="Garamond" w:hAnsi="Garamond"/>
          <w:color w:val="000000"/>
          <w:sz w:val="24"/>
          <w:szCs w:val="24"/>
        </w:rPr>
        <w:t>best</w:t>
      </w:r>
      <w:proofErr w:type="gramEnd"/>
      <w:r>
        <w:rPr>
          <w:rFonts w:ascii="Garamond" w:hAnsi="Garamond"/>
          <w:color w:val="000000"/>
          <w:sz w:val="24"/>
          <w:szCs w:val="24"/>
        </w:rPr>
        <w:t xml:space="preserve"> wishes,</w:t>
      </w:r>
    </w:p>
    <w:p w:rsidR="006E39A7" w:rsidRDefault="006E39A7" w:rsidP="006E39A7">
      <w:pPr>
        <w:rPr>
          <w:rFonts w:ascii="Garamond" w:hAnsi="Garamond"/>
          <w:color w:val="000000"/>
          <w:sz w:val="24"/>
          <w:szCs w:val="24"/>
        </w:rPr>
      </w:pPr>
      <w:proofErr w:type="spellStart"/>
      <w:r>
        <w:rPr>
          <w:rFonts w:ascii="Garamond" w:hAnsi="Garamond"/>
          <w:color w:val="000000"/>
          <w:sz w:val="24"/>
          <w:szCs w:val="24"/>
        </w:rPr>
        <w:t>Camelia</w:t>
      </w:r>
      <w:proofErr w:type="spellEnd"/>
      <w:r>
        <w:rPr>
          <w:rFonts w:ascii="Garamond" w:hAnsi="Garamond"/>
          <w:color w:val="000000"/>
          <w:sz w:val="24"/>
          <w:szCs w:val="24"/>
        </w:rPr>
        <w:t xml:space="preserve"> Minica</w:t>
      </w:r>
    </w:p>
    <w:p w:rsidR="006E39A7" w:rsidRDefault="006E39A7" w:rsidP="006E39A7">
      <w:pPr>
        <w:rPr>
          <w:color w:val="1F497D"/>
          <w:lang w:val="nl-NL"/>
        </w:rPr>
      </w:pPr>
    </w:p>
    <w:p w:rsidR="00473EAF" w:rsidRDefault="008658D9"/>
    <w:sectPr w:rsidR="00473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E2"/>
    <w:rsid w:val="003B7AE2"/>
    <w:rsid w:val="00423B76"/>
    <w:rsid w:val="006E39A7"/>
    <w:rsid w:val="008658D9"/>
    <w:rsid w:val="00B5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9A7"/>
    <w:rPr>
      <w:color w:val="0000FF"/>
      <w:u w:val="single"/>
    </w:rPr>
  </w:style>
  <w:style w:type="paragraph" w:styleId="NormalWeb">
    <w:name w:val="Normal (Web)"/>
    <w:basedOn w:val="Normal"/>
    <w:uiPriority w:val="99"/>
    <w:semiHidden/>
    <w:unhideWhenUsed/>
    <w:rsid w:val="006E39A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9A7"/>
    <w:rPr>
      <w:color w:val="0000FF"/>
      <w:u w:val="single"/>
    </w:rPr>
  </w:style>
  <w:style w:type="paragraph" w:styleId="NormalWeb">
    <w:name w:val="Normal (Web)"/>
    <w:basedOn w:val="Normal"/>
    <w:uiPriority w:val="99"/>
    <w:semiHidden/>
    <w:unhideWhenUsed/>
    <w:rsid w:val="006E39A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5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eelingenregister.org/nederlands/verslaggeving/NTR-publicaties_2014/Minica_MP_2014_epub.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meliaminica.nl/scripts.php" TargetMode="External"/><Relationship Id="rId5" Type="http://schemas.openxmlformats.org/officeDocument/2006/relationships/hyperlink" Target="http://www.tweelingenregister.org/nederlands/verslaggeving/NTR-publicaties_2014/Minica_EJHG_2014_epu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Vrije Universiteit Amsterdam</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dba400</dc:creator>
  <cp:keywords/>
  <dc:description/>
  <cp:lastModifiedBy>dba400</cp:lastModifiedBy>
  <cp:revision>5</cp:revision>
  <dcterms:created xsi:type="dcterms:W3CDTF">2015-03-01T18:13:00Z</dcterms:created>
  <dcterms:modified xsi:type="dcterms:W3CDTF">2015-03-03T07:20:00Z</dcterms:modified>
</cp:coreProperties>
</file>